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171450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121920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5, 2026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106680</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VANDA PHARMACEUTICALS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90170</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ectPr>
          <w:pgSz w:w="11900" w:h="16838" w:orient="portrait"/>
          <w:cols w:equalWidth="0" w:num="1">
            <w:col w:w="11080"/>
          </w:cols>
          <w:pgMar w:left="320" w:top="1253" w:right="499" w:bottom="1440" w:gutter="0" w:footer="0" w:header="0"/>
        </w:sectPr>
      </w:pPr>
    </w:p>
    <w:p>
      <w:pPr>
        <w:spacing w:after="0" w:line="323"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001-34186</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03-0491827</w:t>
      </w:r>
    </w:p>
    <w:p>
      <w:pPr>
        <w:spacing w:after="0" w:line="31" w:lineRule="exact"/>
        <w:rPr>
          <w:sz w:val="24"/>
          <w:szCs w:val="24"/>
          <w:color w:val="auto"/>
        </w:rPr>
      </w:pPr>
    </w:p>
    <w:p>
      <w:pPr>
        <w:sectPr>
          <w:pgSz w:w="11900" w:h="16838" w:orient="portrait"/>
          <w:cols w:equalWidth="0" w:num="3">
            <w:col w:w="4500" w:space="720"/>
            <w:col w:w="2740" w:space="720"/>
            <w:col w:w="2400"/>
          </w:cols>
          <w:pgMar w:left="320" w:top="1253"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4220" w:space="720"/>
            <w:col w:w="2420" w:space="720"/>
            <w:col w:w="3000"/>
          </w:cols>
          <w:pgMar w:left="320" w:top="1253" w:right="499" w:bottom="1440" w:gutter="0" w:footer="0" w:header="0"/>
          <w:type w:val="continuous"/>
        </w:sectPr>
      </w:pPr>
    </w:p>
    <w:p>
      <w:pPr>
        <w:spacing w:after="0" w:line="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2200 Pennsylvania Avenue NW</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Suite 300E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20037</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80"/>
          </w:cols>
          <w:pgMar w:left="320" w:top="1253" w:right="499" w:bottom="1440" w:gutter="0" w:footer="0" w:header="0"/>
          <w:type w:val="continuous"/>
        </w:sectPr>
      </w:pPr>
    </w:p>
    <w:p>
      <w:pPr>
        <w:spacing w:after="0" w:line="2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734-3400</w:t>
      </w:r>
    </w:p>
    <w:p>
      <w:pPr>
        <w:spacing w:after="0" w:line="26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112395</wp:posOffset>
            </wp:positionV>
            <wp:extent cx="1800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8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5"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0" w:type="dxa"/>
            <w:vAlign w:val="bottom"/>
          </w:tcPr>
          <w:p>
            <w:pPr>
              <w:spacing w:after="0"/>
              <w:rPr>
                <w:sz w:val="13"/>
                <w:szCs w:val="13"/>
                <w:color w:val="auto"/>
              </w:rPr>
            </w:pPr>
          </w:p>
        </w:tc>
        <w:tc>
          <w:tcPr>
            <w:tcW w:w="196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gridSpan w:val="2"/>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263"/>
        </w:trPr>
        <w:tc>
          <w:tcPr>
            <w:tcW w:w="4600" w:type="dxa"/>
            <w:vAlign w:val="bottom"/>
            <w:gridSpan w:val="3"/>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9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VNDA</w:t>
            </w:r>
          </w:p>
        </w:tc>
        <w:tc>
          <w:tcPr>
            <w:tcW w:w="820" w:type="dxa"/>
            <w:vAlign w:val="bottom"/>
          </w:tcPr>
          <w:p>
            <w:pPr>
              <w:spacing w:after="0"/>
              <w:rPr>
                <w:sz w:val="22"/>
                <w:szCs w:val="22"/>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319"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253" w:right="499" w:bottom="1440" w:gutter="0" w:footer="0" w:header="0"/>
          <w:type w:val="continuous"/>
        </w:sectPr>
      </w:pPr>
    </w:p>
    <w:bookmarkStart w:id="1" w:name="page2"/>
    <w:bookmarkEnd w:id="1"/>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62"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At the 2026 annual meeting of stockholders of Vanda Pharmaceuticals Inc. (the “Company”) held on June 4, 2026 (the “Annual Meeting”), the following proposals were submitted to the stockholders of the Company:</w:t>
      </w:r>
    </w:p>
    <w:p>
      <w:pPr>
        <w:spacing w:after="0" w:line="162" w:lineRule="exact"/>
        <w:rPr>
          <w:sz w:val="20"/>
          <w:szCs w:val="20"/>
          <w:color w:val="auto"/>
        </w:rPr>
      </w:pPr>
    </w:p>
    <w:p>
      <w:pPr>
        <w:ind w:left="980" w:right="96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Proposal 1:</w:t>
        <w:tab/>
        <w:t>The election of three directors to serve as Class II directors for a term of three years until the Company’s 2029 annual meeting of stockholders.</w:t>
      </w:r>
    </w:p>
    <w:p>
      <w:pPr>
        <w:spacing w:after="0" w:line="162" w:lineRule="exact"/>
        <w:rPr>
          <w:sz w:val="20"/>
          <w:szCs w:val="20"/>
          <w:color w:val="auto"/>
        </w:rPr>
      </w:pPr>
    </w:p>
    <w:p>
      <w:pPr>
        <w:ind w:left="980" w:right="32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Proposal 2:</w:t>
        <w:tab/>
        <w:t>The ratification of the selection, by the Audit Committee of the Company’s Board of Directors (the “Board”), of PricewaterhouseCoopers LLP as the Company’s independent registered public accounting firm for the fiscal year ending December 31, 2026.</w:t>
      </w:r>
    </w:p>
    <w:p>
      <w:pPr>
        <w:spacing w:after="0" w:line="16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Proposal 3:</w:t>
      </w:r>
      <w:r>
        <w:rPr>
          <w:sz w:val="20"/>
          <w:szCs w:val="20"/>
          <w:color w:val="auto"/>
        </w:rPr>
        <w:tab/>
      </w:r>
      <w:r>
        <w:rPr>
          <w:rFonts w:ascii="Times New Roman" w:cs="Times New Roman" w:eastAsia="Times New Roman" w:hAnsi="Times New Roman"/>
          <w:sz w:val="17"/>
          <w:szCs w:val="17"/>
          <w:color w:val="auto"/>
        </w:rPr>
        <w:t>The approval on an advisory, non-binding basis of the compensation of the Company’s named executive officers.</w:t>
      </w:r>
    </w:p>
    <w:p>
      <w:pPr>
        <w:spacing w:after="0" w:line="225" w:lineRule="exact"/>
        <w:rPr>
          <w:sz w:val="20"/>
          <w:szCs w:val="20"/>
          <w:color w:val="auto"/>
        </w:rPr>
      </w:pPr>
    </w:p>
    <w:p>
      <w:pPr>
        <w:ind w:left="980" w:right="48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Proposal 4:</w:t>
        <w:tab/>
        <w:t>The approval of an amendment to the Company’s Amended and Restated 2016 Equity Incentive Plan, as amended (the “2016 Plan”), to increase the aggregate number of shares authorized for issuance thereunder.</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more information about the foregoing proposals, see the Company’s definitive proxy statement on Schedule 14A filed with the Securities and Exchange Commission on April 23, 2026 (the “Proxy Statement”). Of the 60,135,062 shares of the Company’s common stock entitled to vote at the Annual Meeting, 48,509,906 shares, or approximately 80.7% were represented at the meeting in person or by proxy, constituting a quorum. The number of votes cast for, against or withheld, as well as abstentions and broker non-votes, if applicable, in respect of each such matter is set forth below:</w:t>
      </w:r>
    </w:p>
    <w:p>
      <w:pPr>
        <w:spacing w:after="0" w:line="18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Proposal 1:</w:t>
        <w:tab/>
        <w:t>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elected the following directors to serve as Class II directors until the Company’s 2029 annual meeting of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votes regarding the election of directors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14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12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64"/>
        </w:trPr>
        <w:tc>
          <w:tcPr>
            <w:tcW w:w="32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Richard W. Dugan</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33,029,049</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5,417,322</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46,718</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10,016,817</w:t>
            </w:r>
          </w:p>
        </w:tc>
      </w:tr>
      <w:tr>
        <w:trPr>
          <w:trHeight w:val="256"/>
        </w:trPr>
        <w:tc>
          <w:tcPr>
            <w:tcW w:w="3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Charles C. Duncan, Ph.D.</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35,780,031</w:t>
            </w:r>
          </w:p>
        </w:tc>
        <w:tc>
          <w:tcPr>
            <w:tcW w:w="120" w:type="dxa"/>
            <w:vAlign w:val="bottom"/>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2,664,889</w:t>
            </w:r>
          </w:p>
        </w:tc>
        <w:tc>
          <w:tcPr>
            <w:tcW w:w="140" w:type="dxa"/>
            <w:vAlign w:val="bottom"/>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48,169</w:t>
            </w:r>
          </w:p>
        </w:tc>
        <w:tc>
          <w:tcPr>
            <w:tcW w:w="120" w:type="dxa"/>
            <w:vAlign w:val="bottom"/>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10,016,817</w:t>
            </w:r>
          </w:p>
        </w:tc>
      </w:tr>
      <w:tr>
        <w:trPr>
          <w:trHeight w:val="257"/>
        </w:trPr>
        <w:tc>
          <w:tcPr>
            <w:tcW w:w="32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Anne Sempowski Ward</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33,897,782</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4,543,488</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51,819</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10,016,817</w:t>
            </w:r>
          </w:p>
        </w:tc>
      </w:tr>
    </w:tbl>
    <w:p>
      <w:pPr>
        <w:spacing w:after="0" w:line="40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Proposal 2:</w:t>
      </w:r>
      <w:r>
        <w:rPr>
          <w:sz w:val="20"/>
          <w:szCs w:val="20"/>
          <w:color w:val="auto"/>
        </w:rPr>
        <w:tab/>
      </w:r>
      <w:r>
        <w:rPr>
          <w:rFonts w:ascii="Times New Roman" w:cs="Times New Roman" w:eastAsia="Times New Roman" w:hAnsi="Times New Roman"/>
          <w:sz w:val="17"/>
          <w:szCs w:val="17"/>
          <w:color w:val="auto"/>
        </w:rPr>
        <w:t>Ratification of Selection of PricewaterhouseCoopers LLP.</w:t>
      </w:r>
    </w:p>
    <w:p>
      <w:pPr>
        <w:spacing w:after="0" w:line="22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Board, of PricewaterhouseCoopers LLP as the Company’s independent registered public accounting firm for the fiscal year ending December 31, 2026. The votes regarding this proposal were as follows:</w:t>
      </w:r>
    </w:p>
    <w:p>
      <w:pPr>
        <w:spacing w:after="0" w:line="1" w:lineRule="exact"/>
        <w:rPr>
          <w:sz w:val="20"/>
          <w:szCs w:val="20"/>
          <w:color w:val="auto"/>
        </w:rPr>
      </w:pPr>
    </w:p>
    <w:tbl>
      <w:tblPr>
        <w:tblLayout w:type="fixed"/>
        <w:tblInd w:w="2500" w:type="dxa"/>
        <w:tblCellMar>
          <w:top w:w="0" w:type="dxa"/>
          <w:left w:w="0" w:type="dxa"/>
          <w:bottom w:w="0" w:type="dxa"/>
          <w:right w:w="0" w:type="dxa"/>
        </w:tblCellMar>
      </w:tblPr>
      <w:tr>
        <w:trPr>
          <w:trHeight w:val="238"/>
        </w:trPr>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r>
      <w:tr>
        <w:trPr>
          <w:trHeight w:val="237"/>
        </w:trPr>
        <w:tc>
          <w:tcPr>
            <w:tcW w:w="198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48,103,698</w:t>
            </w:r>
          </w:p>
        </w:tc>
        <w:tc>
          <w:tcPr>
            <w:tcW w:w="140" w:type="dxa"/>
            <w:vAlign w:val="bottom"/>
            <w:tcBorders>
              <w:top w:val="single" w:sz="8" w:color="CCEEFF"/>
            </w:tcBorders>
            <w:shd w:val="clear" w:color="auto" w:fill="CCEEFF"/>
          </w:tcPr>
          <w:p>
            <w:pPr>
              <w:spacing w:after="0"/>
              <w:rPr>
                <w:sz w:val="20"/>
                <w:szCs w:val="20"/>
                <w:color w:val="auto"/>
              </w:rPr>
            </w:pPr>
          </w:p>
        </w:tc>
        <w:tc>
          <w:tcPr>
            <w:tcW w:w="200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340,513</w:t>
            </w:r>
          </w:p>
        </w:tc>
        <w:tc>
          <w:tcPr>
            <w:tcW w:w="160" w:type="dxa"/>
            <w:vAlign w:val="bottom"/>
            <w:tcBorders>
              <w:top w:val="single" w:sz="8" w:color="CCEEFF"/>
            </w:tcBorders>
            <w:shd w:val="clear" w:color="auto" w:fill="CCEEFF"/>
          </w:tcPr>
          <w:p>
            <w:pPr>
              <w:spacing w:after="0"/>
              <w:rPr>
                <w:sz w:val="20"/>
                <w:szCs w:val="20"/>
                <w:color w:val="auto"/>
              </w:rPr>
            </w:pPr>
          </w:p>
        </w:tc>
        <w:tc>
          <w:tcPr>
            <w:tcW w:w="198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65,695</w:t>
            </w:r>
          </w:p>
        </w:tc>
      </w:tr>
      <w:tr>
        <w:trPr>
          <w:trHeight w:val="27"/>
        </w:trPr>
        <w:tc>
          <w:tcPr>
            <w:tcW w:w="1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40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Proposal 3:</w:t>
      </w:r>
      <w:r>
        <w:rPr>
          <w:sz w:val="20"/>
          <w:szCs w:val="20"/>
          <w:color w:val="auto"/>
        </w:rPr>
        <w:tab/>
      </w:r>
      <w:r>
        <w:rPr>
          <w:rFonts w:ascii="Times New Roman" w:cs="Times New Roman" w:eastAsia="Times New Roman" w:hAnsi="Times New Roman"/>
          <w:sz w:val="17"/>
          <w:szCs w:val="17"/>
          <w:color w:val="auto"/>
        </w:rPr>
        <w:t>Advisory Vote on Named Executive Officer Compensation.</w:t>
      </w:r>
    </w:p>
    <w:p>
      <w:pPr>
        <w:spacing w:after="0" w:line="225" w:lineRule="exact"/>
        <w:rPr>
          <w:sz w:val="20"/>
          <w:szCs w:val="20"/>
          <w:color w:val="auto"/>
        </w:rPr>
      </w:pPr>
    </w:p>
    <w:p>
      <w:pPr>
        <w:ind w:right="880"/>
        <w:spacing w:after="0" w:line="271" w:lineRule="auto"/>
        <w:rPr>
          <w:sz w:val="20"/>
          <w:szCs w:val="20"/>
          <w:color w:val="auto"/>
        </w:rPr>
      </w:pPr>
      <w:r>
        <w:rPr>
          <w:rFonts w:ascii="Times New Roman" w:cs="Times New Roman" w:eastAsia="Times New Roman" w:hAnsi="Times New Roman"/>
          <w:sz w:val="18"/>
          <w:szCs w:val="18"/>
          <w:color w:val="auto"/>
        </w:rPr>
        <w:t>The Company’s stockholders approved on an advisory, non-binding basis the compensation paid to the Company’s named executive officers, as disclosed in the Proxy Statement. The votes regarding this proposal were as follows:</w:t>
      </w:r>
    </w:p>
    <w:p>
      <w:pPr>
        <w:spacing w:after="0" w:line="1"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7"/>
        </w:trPr>
        <w:tc>
          <w:tcPr>
            <w:tcW w:w="198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35,242,659</w:t>
            </w:r>
          </w:p>
        </w:tc>
        <w:tc>
          <w:tcPr>
            <w:tcW w:w="140" w:type="dxa"/>
            <w:vAlign w:val="bottom"/>
            <w:tcBorders>
              <w:top w:val="single" w:sz="8" w:color="CCEEFF"/>
            </w:tcBorders>
            <w:shd w:val="clear" w:color="auto" w:fill="CCEEFF"/>
          </w:tcPr>
          <w:p>
            <w:pPr>
              <w:spacing w:after="0"/>
              <w:rPr>
                <w:sz w:val="20"/>
                <w:szCs w:val="20"/>
                <w:color w:val="auto"/>
              </w:rPr>
            </w:pPr>
          </w:p>
        </w:tc>
        <w:tc>
          <w:tcPr>
            <w:tcW w:w="200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3,167,243</w:t>
            </w:r>
          </w:p>
        </w:tc>
        <w:tc>
          <w:tcPr>
            <w:tcW w:w="160" w:type="dxa"/>
            <w:vAlign w:val="bottom"/>
            <w:tcBorders>
              <w:top w:val="single" w:sz="8" w:color="CCEEFF"/>
            </w:tcBorders>
            <w:shd w:val="clear" w:color="auto" w:fill="CCEEFF"/>
          </w:tcPr>
          <w:p>
            <w:pPr>
              <w:spacing w:after="0"/>
              <w:rPr>
                <w:sz w:val="20"/>
                <w:szCs w:val="20"/>
                <w:color w:val="auto"/>
              </w:rPr>
            </w:pPr>
          </w:p>
        </w:tc>
        <w:tc>
          <w:tcPr>
            <w:tcW w:w="198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83,187</w:t>
            </w:r>
          </w:p>
        </w:tc>
        <w:tc>
          <w:tcPr>
            <w:tcW w:w="160" w:type="dxa"/>
            <w:vAlign w:val="bottom"/>
            <w:tcBorders>
              <w:top w:val="single" w:sz="8" w:color="CCEEFF"/>
            </w:tcBorders>
            <w:shd w:val="clear" w:color="auto" w:fill="CCEEFF"/>
          </w:tcPr>
          <w:p>
            <w:pPr>
              <w:spacing w:after="0"/>
              <w:rPr>
                <w:sz w:val="20"/>
                <w:szCs w:val="20"/>
                <w:color w:val="auto"/>
              </w:rPr>
            </w:pPr>
          </w:p>
        </w:tc>
        <w:tc>
          <w:tcPr>
            <w:tcW w:w="20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10,016,817</w:t>
            </w:r>
          </w:p>
        </w:tc>
      </w:tr>
      <w:tr>
        <w:trPr>
          <w:trHeight w:val="27"/>
        </w:trPr>
        <w:tc>
          <w:tcPr>
            <w:tcW w:w="1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Proposal 4:</w:t>
      </w:r>
      <w:r>
        <w:rPr>
          <w:sz w:val="20"/>
          <w:szCs w:val="20"/>
          <w:color w:val="auto"/>
        </w:rPr>
        <w:tab/>
      </w:r>
      <w:r>
        <w:rPr>
          <w:rFonts w:ascii="Times New Roman" w:cs="Times New Roman" w:eastAsia="Times New Roman" w:hAnsi="Times New Roman"/>
          <w:sz w:val="17"/>
          <w:szCs w:val="17"/>
          <w:color w:val="auto"/>
        </w:rPr>
        <w:t>Amendment to the Company’s 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The Company’s stockholders approved an amendment to the 2016 Plan to increase the aggregate number of shares authorized for issuance under the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The votes regarding this proposal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340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43"/>
        </w:trPr>
        <w:tc>
          <w:tcPr>
            <w:tcW w:w="1420" w:type="dxa"/>
            <w:vAlign w:val="bottom"/>
          </w:tcPr>
          <w:p>
            <w:pPr>
              <w:spacing w:after="0"/>
              <w:rPr>
                <w:sz w:val="21"/>
                <w:szCs w:val="21"/>
                <w:color w:val="auto"/>
              </w:rPr>
            </w:pPr>
          </w:p>
        </w:tc>
        <w:tc>
          <w:tcPr>
            <w:tcW w:w="198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31,729,991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6,685,078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78,020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10,016,817</w:t>
            </w:r>
          </w:p>
        </w:tc>
        <w:tc>
          <w:tcPr>
            <w:tcW w:w="1400" w:type="dxa"/>
            <w:vAlign w:val="bottom"/>
          </w:tcPr>
          <w:p>
            <w:pPr>
              <w:spacing w:after="0"/>
              <w:rPr>
                <w:sz w:val="21"/>
                <w:szCs w:val="21"/>
                <w:color w:val="auto"/>
              </w:rPr>
            </w:pPr>
          </w:p>
        </w:tc>
      </w:tr>
      <w:tr>
        <w:trPr>
          <w:trHeight w:val="1087"/>
        </w:trPr>
        <w:tc>
          <w:tcPr>
            <w:tcW w:w="14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Dated:   June 5, 2026</w:t>
            </w:r>
          </w:p>
        </w:tc>
        <w:tc>
          <w:tcPr>
            <w:tcW w:w="780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VANDA PHARMACEUTICALS INC.</w:t>
            </w:r>
          </w:p>
        </w:tc>
      </w:tr>
      <w:tr>
        <w:trPr>
          <w:trHeight w:val="405"/>
        </w:trPr>
        <w:tc>
          <w:tcPr>
            <w:tcW w:w="3300" w:type="dxa"/>
            <w:vAlign w:val="bottom"/>
          </w:tcPr>
          <w:p>
            <w:pPr>
              <w:spacing w:after="0"/>
              <w:rPr>
                <w:sz w:val="24"/>
                <w:szCs w:val="24"/>
                <w:color w:val="auto"/>
              </w:rPr>
            </w:pPr>
          </w:p>
        </w:tc>
        <w:tc>
          <w:tcPr>
            <w:tcW w:w="25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Daniel McGuire</w:t>
            </w:r>
          </w:p>
        </w:tc>
      </w:tr>
      <w:tr>
        <w:trPr>
          <w:trHeight w:val="218"/>
        </w:trPr>
        <w:tc>
          <w:tcPr>
            <w:tcW w:w="3300" w:type="dxa"/>
            <w:vAlign w:val="bottom"/>
          </w:tcPr>
          <w:p>
            <w:pPr>
              <w:spacing w:after="0"/>
              <w:rPr>
                <w:sz w:val="18"/>
                <w:szCs w:val="18"/>
                <w:color w:val="auto"/>
              </w:rPr>
            </w:pPr>
          </w:p>
        </w:tc>
        <w:tc>
          <w:tcPr>
            <w:tcW w:w="25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Name:</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Daniel McGuire</w:t>
            </w:r>
          </w:p>
        </w:tc>
      </w:tr>
      <w:tr>
        <w:trPr>
          <w:trHeight w:val="234"/>
        </w:trPr>
        <w:tc>
          <w:tcPr>
            <w:tcW w:w="3300" w:type="dxa"/>
            <w:vAlign w:val="bottom"/>
          </w:tcPr>
          <w:p>
            <w:pPr>
              <w:spacing w:after="0"/>
              <w:rPr>
                <w:sz w:val="20"/>
                <w:szCs w:val="20"/>
                <w:color w:val="auto"/>
              </w:rPr>
            </w:pPr>
          </w:p>
        </w:tc>
        <w:tc>
          <w:tcPr>
            <w:tcW w:w="25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120"/>
      </w:cols>
      <w:pgMar w:left="320" w:top="88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2026-06-05T15:55:53Z</dcterms:created>
  <dcterms:modified xsi:type="dcterms:W3CDTF">2026-06-05T15:55:53Z</dcterms:modified>
</cp:coreProperties>
</file>