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Vanda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3,376,401.00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3,376,401.00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3,376,401.00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3,376,401.00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3,376,401.00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3,376,401.00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3,376,401.00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3,376,401.00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3,376,401.00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Vanda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Pennsylvania Avenue NW, Suite 300E, Washington, DC 20037</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18, 2026, by and among Millennium Management LLC, Millennium Group Management LLC and Israel A. Englander.</w:t>
            </w:r>
          </w:p>
        </w:tc>
      </w:tr>
    </w:tbl>
    <w:p>
      <w:pPr>
        <w:pStyle w:val="TextBody"/>
        <w:bidi w:val="0"/>
        <w:spacing w:before="0" w:after="0"/>
        <w:ind w:left="0" w:right="0" w:hanging="0"/>
        <w:jc w:val="center"/>
        <w:rPr>
          <w:caps w:val="false"/>
          <w:smallCaps w:val="false"/>
        </w:rPr>
      </w:pPr>
      <w:bookmarkStart w:id="24" w:name="tm2623606d1_ex-1.htm"/>
      <w:bookmarkStart w:id="25" w:name="kstm2623606d1_ex1"/>
      <w:bookmarkEnd w:id="24"/>
      <w:bookmarkEnd w:id="25"/>
      <w:r>
        <w:rPr>
          <w:caps w:val="false"/>
          <w:smallCaps w:val="false"/>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Vanda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18, 2026 </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1360</Words>
  <Characters>7073</Characters>
  <CharactersWithSpaces>8431</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