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14"/>
        <w:gridCol w:w="1522"/>
        <w:gridCol w:w="3050"/>
        <w:gridCol w:w="2519"/>
      </w:tblGrid>
      <w:tr>
        <w:trPr/>
        <w:tc>
          <w:tcPr>
            <w:tcW w:w="3114"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94"/>
            </w:tblGrid>
            <w:tr>
              <w:trPr/>
              <w:tc>
                <w:tcPr>
                  <w:tcW w:w="2994" w:type="dxa"/>
                  <w:tcBorders/>
                  <w:vAlign w:val="center"/>
                </w:tcPr>
                <w:p>
                  <w:pPr>
                    <w:pStyle w:val="TableContents"/>
                    <w:bidi w:val="0"/>
                    <w:spacing w:before="0" w:after="283"/>
                    <w:jc w:val="left"/>
                    <w:rPr/>
                  </w:pPr>
                  <w:hyperlink r:id="rId2">
                    <w:r>
                      <w:rPr>
                        <w:rStyle w:val="InternetLink"/>
                      </w:rPr>
                      <w:t>McGuire Daniel Patrick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94"/>
            </w:tblGrid>
            <w:tr>
              <w:trPr/>
              <w:tc>
                <w:tcPr>
                  <w:tcW w:w="29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PENNSYLVANIA AVE. NW</w:t>
                  </w:r>
                </w:p>
              </w:tc>
            </w:tr>
            <w:tr>
              <w:trPr/>
              <w:tc>
                <w:tcPr>
                  <w:tcW w:w="29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06/04/2026</w:t>
            </w:r>
            <w:r>
              <w:rPr/>
              <w:t xml:space="preserve"> </w:t>
            </w:r>
          </w:p>
        </w:tc>
        <w:tc>
          <w:tcPr>
            <w:tcW w:w="5569"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Vanda Pharmaceuticals Inc.</w:t>
              </w:r>
            </w:hyperlink>
            <w:r>
              <w:rPr/>
              <w:t xml:space="preserve"> [ </w:t>
            </w:r>
            <w:r>
              <w:rPr>
                <w:rFonts w:ascii="Times;serif" w:hAnsi="Times;serif"/>
                <w:color w:val="0000FF"/>
                <w:sz w:val="24"/>
                <w:shd w:fill="FFFFFF" w:val="clear"/>
              </w:rPr>
              <w:t>VNDA</w:t>
            </w:r>
            <w:r>
              <w:rPr/>
              <w:t xml:space="preserve"> ] </w:t>
            </w:r>
          </w:p>
        </w:tc>
      </w:tr>
      <w:tr>
        <w:trPr/>
        <w:tc>
          <w:tcPr>
            <w:tcW w:w="311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50"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39"/>
              <w:gridCol w:w="1026"/>
              <w:gridCol w:w="439"/>
              <w:gridCol w:w="1026"/>
            </w:tblGrid>
            <w:tr>
              <w:trPr/>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0"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GC and Secretary</w:t>
                  </w:r>
                </w:p>
              </w:tc>
            </w:tr>
          </w:tbl>
          <w:p>
            <w:pPr>
              <w:pStyle w:val="TableContents"/>
              <w:bidi w:val="0"/>
              <w:spacing w:before="0" w:after="283"/>
              <w:jc w:val="left"/>
              <w:rPr>
                <w:sz w:val="4"/>
                <w:szCs w:val="4"/>
              </w:rPr>
            </w:pPr>
            <w:r>
              <w:rPr>
                <w:sz w:val="4"/>
                <w:szCs w:val="4"/>
              </w:rPr>
            </w:r>
          </w:p>
        </w:tc>
        <w:tc>
          <w:tcPr>
            <w:tcW w:w="2519"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14"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5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19"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9"/>
              <w:gridCol w:w="2040"/>
            </w:tblGrid>
            <w:tr>
              <w:trPr/>
              <w:tc>
                <w:tcPr>
                  <w:tcW w:w="35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1,732</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6,000</w:t>
            </w:r>
            <w:r>
              <w:rPr>
                <w:rFonts w:ascii="Times;serif" w:hAnsi="Times;serif"/>
                <w:color w:val="008000"/>
                <w:position w:val="7"/>
                <w:sz w:val="16"/>
                <w:sz w:val="20"/>
                <w:shd w:fill="FFFFFF" w:val="clear"/>
              </w:rPr>
              <w:t>(1)</w:t>
            </w:r>
            <w:r>
              <w:rPr/>
              <w:t xml:space="preserve"> </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2,250</w:t>
            </w:r>
            <w:r>
              <w:rPr>
                <w:rFonts w:ascii="Times;serif" w:hAnsi="Times;serif"/>
                <w:color w:val="008000"/>
                <w:position w:val="7"/>
                <w:sz w:val="16"/>
                <w:sz w:val="20"/>
                <w:shd w:fill="FFFFFF" w:val="clear"/>
              </w:rPr>
              <w:t>(2)</w:t>
            </w:r>
            <w:r>
              <w:rPr/>
              <w:t xml:space="preserve"> </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20,000</w:t>
            </w:r>
            <w:r>
              <w:rPr>
                <w:rFonts w:ascii="Times;serif" w:hAnsi="Times;serif"/>
                <w:color w:val="008000"/>
                <w:position w:val="7"/>
                <w:sz w:val="16"/>
                <w:sz w:val="20"/>
                <w:shd w:fill="FFFFFF" w:val="clear"/>
              </w:rPr>
              <w:t>(3)</w:t>
            </w:r>
            <w:r>
              <w:rPr/>
              <w:t xml:space="preserve"> </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underlying an RSU award. One-third of the RSU will vest on July 29, 2026, 1/3 will vest on July 29, 2027, and the remaining 1/3 will vest on July 29, 2028, provided the Reporting Person remains continuously employed by the Issuer through each vesting date. Vested shares will be delivered on the First Permissible Trading Day that occurs on or after the day when the RSUs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underlying an RSU award. The RSU vests as follows: 1/3 will vest on March 1, 2027, 1/3 will vest on March 1, 2028, and the remaining 1/3 will vest on March 1, 2029, provided the Reporting Person remains continuously employed by the Issuer through each annual vesting date. Vested shares will be delivered on the First Permissible Trading Day that occurs on or after the day when the RSUs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underlying an RSU award. The RSU vests in four (4) equal annual installments with the first annual vest taking place on March 1, 2027, provided the Reporting Person remains continuously employed by the Issuer through each annual vesting date. Vested shares will be delivered on the First Permissible Trading Day that occurs on or after the day when the RSUs vest.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McGuire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8590" TargetMode="External"/><Relationship Id="rId3" Type="http://schemas.openxmlformats.org/officeDocument/2006/relationships/hyperlink" Target="http://www.sec.gov/cgi-bin/browse-edgar?action=getcompany&amp;CIK=000134717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3247</Characters>
  <CharactersWithSpaces>3813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