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332105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-224155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81915</wp:posOffset>
            </wp:positionV>
            <wp:extent cx="1758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186690</wp:posOffset>
            </wp:positionV>
            <wp:extent cx="1758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16"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51"/>
          <w:szCs w:val="51"/>
          <w:color w:val="auto"/>
          <w:vertAlign w:val="subscript"/>
        </w:rPr>
      </w:pPr>
      <w:r>
        <w:rPr>
          <w:rFonts w:ascii="Arial" w:cs="Arial" w:eastAsia="Arial" w:hAnsi="Arial"/>
          <w:sz w:val="20"/>
          <w:szCs w:val="20"/>
          <w:b w:val="1"/>
          <w:bCs w:val="1"/>
          <w:color w:val="auto"/>
        </w:rPr>
        <w:t>QUARTERLY</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4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355"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53"/>
          <w:szCs w:val="53"/>
          <w:color w:val="auto"/>
          <w:vertAlign w:val="subscript"/>
        </w:rPr>
      </w:pPr>
      <w:r>
        <w:rPr>
          <w:rFonts w:ascii="Arial" w:cs="Arial" w:eastAsia="Arial" w:hAnsi="Arial"/>
          <w:sz w:val="21"/>
          <w:szCs w:val="21"/>
          <w:b w:val="1"/>
          <w:bCs w:val="1"/>
          <w:color w:val="auto"/>
        </w:rPr>
        <w:t>TRANSITION</w:t>
      </w:r>
      <w:r>
        <w:rPr>
          <w:rFonts w:ascii="Arial" w:cs="Arial" w:eastAsia="Arial" w:hAnsi="Arial"/>
          <w:sz w:val="40"/>
          <w:szCs w:val="40"/>
          <w:b w:val="1"/>
          <w:bCs w:val="1"/>
          <w:color w:val="auto"/>
          <w:vertAlign w:val="subscript"/>
        </w:rPr>
        <w:t>1934</w:t>
      </w:r>
      <w:r>
        <w:rPr>
          <w:rFonts w:ascii="Arial" w:cs="Arial" w:eastAsia="Arial" w:hAnsi="Arial"/>
          <w:sz w:val="21"/>
          <w:szCs w:val="21"/>
          <w:b w:val="1"/>
          <w:bCs w:val="1"/>
          <w:color w:val="auto"/>
        </w:rPr>
        <w:t xml:space="preserve"> REPORT PURSUANT TO SECTION 13 OR 15(d) OF THE SECURITIES EXCHANGE ACT OF</w:t>
      </w:r>
    </w:p>
    <w:p>
      <w:pPr>
        <w:spacing w:after="0" w:line="29"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-8255</wp:posOffset>
            </wp:positionV>
            <wp:extent cx="11811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1100" cy="8890"/>
                    </a:xfrm>
                    <a:prstGeom prst="rect">
                      <a:avLst/>
                    </a:prstGeom>
                    <a:noFill/>
                  </pic:spPr>
                </pic:pic>
              </a:graphicData>
            </a:graphic>
          </wp:anchor>
        </w:drawing>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001-34186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228600</wp:posOffset>
            </wp:positionV>
            <wp:extent cx="17583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VANDA PHARMACEUTICALS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167640</wp:posOffset>
            </wp:positionV>
            <wp:extent cx="17583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ind w:left="4820"/>
        <w:spacing w:after="0"/>
        <w:rPr>
          <w:sz w:val="20"/>
          <w:szCs w:val="20"/>
          <w:color w:val="auto"/>
        </w:rPr>
      </w:pPr>
      <w:r>
        <w:rPr>
          <w:rFonts w:ascii="Arial" w:cs="Arial" w:eastAsia="Arial" w:hAnsi="Arial"/>
          <w:sz w:val="14"/>
          <w:szCs w:val="14"/>
          <w:b w:val="1"/>
          <w:bCs w:val="1"/>
          <w:color w:val="auto"/>
        </w:rPr>
        <w:t>(State or other jurisdiction of</w:t>
      </w:r>
    </w:p>
    <w:p>
      <w:pPr>
        <w:spacing w:after="0" w:line="1" w:lineRule="exact"/>
        <w:rPr>
          <w:sz w:val="24"/>
          <w:szCs w:val="24"/>
          <w:color w:val="auto"/>
        </w:rPr>
      </w:pPr>
    </w:p>
    <w:p>
      <w:pPr>
        <w:ind w:left="4780"/>
        <w:spacing w:after="0"/>
        <w:rPr>
          <w:sz w:val="20"/>
          <w:szCs w:val="20"/>
          <w:color w:val="auto"/>
        </w:rPr>
      </w:pPr>
      <w:r>
        <w:rPr>
          <w:rFonts w:ascii="Arial" w:cs="Arial" w:eastAsia="Arial" w:hAnsi="Arial"/>
          <w:sz w:val="14"/>
          <w:szCs w:val="14"/>
          <w:b w:val="1"/>
          <w:bCs w:val="1"/>
          <w:color w:val="auto"/>
        </w:rPr>
        <w:t>incorporation or organization)</w:t>
      </w:r>
    </w:p>
    <w:p>
      <w:pPr>
        <w:spacing w:after="0" w:line="1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2200 Pennsylvania Avenue, N.W., Suite 300 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03-0491827</w:t>
      </w:r>
    </w:p>
    <w:p>
      <w:pPr>
        <w:spacing w:after="0" w:line="21" w:lineRule="exact"/>
        <w:rPr>
          <w:sz w:val="24"/>
          <w:szCs w:val="24"/>
          <w:color w:val="auto"/>
        </w:rPr>
      </w:pPr>
    </w:p>
    <w:p>
      <w:pPr>
        <w:ind w:left="5200"/>
        <w:spacing w:after="0"/>
        <w:rPr>
          <w:sz w:val="20"/>
          <w:szCs w:val="20"/>
          <w:color w:val="auto"/>
        </w:rPr>
      </w:pPr>
      <w:r>
        <w:rPr>
          <w:rFonts w:ascii="Arial" w:cs="Arial" w:eastAsia="Arial" w:hAnsi="Arial"/>
          <w:sz w:val="14"/>
          <w:szCs w:val="14"/>
          <w:b w:val="1"/>
          <w:bCs w:val="1"/>
          <w:color w:val="auto"/>
        </w:rPr>
        <w:t>(I.R.S. Employer</w:t>
      </w:r>
    </w:p>
    <w:p>
      <w:pPr>
        <w:spacing w:after="0" w:line="1" w:lineRule="exact"/>
        <w:rPr>
          <w:sz w:val="24"/>
          <w:szCs w:val="24"/>
          <w:color w:val="auto"/>
        </w:rPr>
      </w:pPr>
    </w:p>
    <w:p>
      <w:pPr>
        <w:ind w:left="5160"/>
        <w:spacing w:after="0"/>
        <w:rPr>
          <w:sz w:val="20"/>
          <w:szCs w:val="20"/>
          <w:color w:val="auto"/>
        </w:rPr>
      </w:pPr>
      <w:r>
        <w:rPr>
          <w:rFonts w:ascii="Arial" w:cs="Arial" w:eastAsia="Arial" w:hAnsi="Arial"/>
          <w:sz w:val="14"/>
          <w:szCs w:val="14"/>
          <w:b w:val="1"/>
          <w:bCs w:val="1"/>
          <w:color w:val="auto"/>
        </w:rPr>
        <w:t>Identification No.)</w:t>
      </w:r>
    </w:p>
    <w:p>
      <w:pPr>
        <w:spacing w:after="0" w:line="36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20037</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(Zip Code)</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(202) 734-3400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167640</wp:posOffset>
            </wp:positionV>
            <wp:extent cx="17583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12(b) of the Exchange Act:</w:t>
      </w:r>
    </w:p>
    <w:p>
      <w:pPr>
        <w:spacing w:after="0" w:line="164" w:lineRule="exact"/>
        <w:rPr>
          <w:sz w:val="24"/>
          <w:szCs w:val="24"/>
          <w:color w:val="auto"/>
        </w:rPr>
      </w:pPr>
    </w:p>
    <w:tbl>
      <w:tblPr>
        <w:tblLayout w:type="fixed"/>
        <w:tblInd w:w="68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900" w:type="dxa"/>
            <w:vAlign w:val="bottom"/>
            <w:gridSpan w:val="2"/>
          </w:tcPr>
          <w:p>
            <w:pPr>
              <w:jc w:val="center"/>
              <w:ind w:right="2760"/>
              <w:spacing w:after="0"/>
              <w:rPr>
                <w:sz w:val="20"/>
                <w:szCs w:val="20"/>
                <w:color w:val="auto"/>
              </w:rPr>
            </w:pPr>
            <w:r>
              <w:rPr>
                <w:rFonts w:ascii="Arial" w:cs="Arial" w:eastAsia="Arial" w:hAnsi="Arial"/>
                <w:sz w:val="14"/>
                <w:szCs w:val="14"/>
                <w:b w:val="1"/>
                <w:bCs w:val="1"/>
                <w:color w:val="auto"/>
                <w:w w:val="91"/>
              </w:rPr>
              <w:t>Title of Each Class</w:t>
            </w:r>
          </w:p>
        </w:tc>
        <w:tc>
          <w:tcPr>
            <w:tcW w:w="3020" w:type="dxa"/>
            <w:vAlign w:val="bottom"/>
            <w:gridSpan w:val="2"/>
          </w:tcPr>
          <w:p>
            <w:pPr>
              <w:jc w:val="center"/>
              <w:ind w:right="2020"/>
              <w:spacing w:after="0"/>
              <w:rPr>
                <w:sz w:val="20"/>
                <w:szCs w:val="20"/>
                <w:color w:val="auto"/>
              </w:rPr>
            </w:pPr>
            <w:r>
              <w:rPr>
                <w:rFonts w:ascii="Arial" w:cs="Arial" w:eastAsia="Arial" w:hAnsi="Arial"/>
                <w:sz w:val="14"/>
                <w:szCs w:val="14"/>
                <w:b w:val="1"/>
                <w:bCs w:val="1"/>
                <w:color w:val="auto"/>
                <w:w w:val="94"/>
              </w:rPr>
              <w:t>Trading Symbol</w:t>
            </w: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0"/>
        </w:trPr>
        <w:tc>
          <w:tcPr>
            <w:tcW w:w="7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r>
      <w:tr>
        <w:trPr>
          <w:trHeight w:val="264"/>
        </w:trPr>
        <w:tc>
          <w:tcPr>
            <w:tcW w:w="460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90"/>
              </w:rPr>
              <w:t>Common Stock, par value $0.001</w:t>
            </w:r>
          </w:p>
        </w:tc>
        <w:tc>
          <w:tcPr>
            <w:tcW w:w="3020" w:type="dxa"/>
            <w:vAlign w:val="bottom"/>
            <w:gridSpan w:val="2"/>
          </w:tcPr>
          <w:p>
            <w:pPr>
              <w:jc w:val="center"/>
              <w:ind w:right="2020"/>
              <w:spacing w:after="0"/>
              <w:rPr>
                <w:sz w:val="20"/>
                <w:szCs w:val="20"/>
                <w:color w:val="auto"/>
              </w:rPr>
            </w:pPr>
            <w:r>
              <w:rPr>
                <w:rFonts w:ascii="Arial" w:cs="Arial" w:eastAsia="Arial" w:hAnsi="Arial"/>
                <w:sz w:val="18"/>
                <w:szCs w:val="18"/>
                <w:b w:val="1"/>
                <w:bCs w:val="1"/>
                <w:color w:val="auto"/>
              </w:rPr>
              <w:t>VNDA</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70"/>
        </w:trPr>
        <w:tc>
          <w:tcPr>
            <w:tcW w:w="7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Market)</w:t>
            </w:r>
          </w:p>
        </w:tc>
      </w:tr>
    </w:tbl>
    <w:p>
      <w:pPr>
        <w:spacing w:after="0" w:line="229" w:lineRule="exact"/>
        <w:rPr>
          <w:sz w:val="24"/>
          <w:szCs w:val="24"/>
          <w:color w:val="auto"/>
        </w:rPr>
      </w:pPr>
    </w:p>
    <w:p>
      <w:pPr>
        <w:ind w:right="40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46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8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4" w:lineRule="exact"/>
        <w:rPr>
          <w:sz w:val="24"/>
          <w:szCs w:val="24"/>
          <w:color w:val="auto"/>
        </w:rPr>
      </w:pPr>
    </w:p>
    <w:tbl>
      <w:tblPr>
        <w:tblLayout w:type="fixed"/>
        <w:tblInd w:w="1240" w:type="dxa"/>
        <w:tblCellMar>
          <w:top w:w="0" w:type="dxa"/>
          <w:left w:w="0" w:type="dxa"/>
          <w:bottom w:w="0" w:type="dxa"/>
          <w:right w:w="0" w:type="dxa"/>
        </w:tblCellMar>
      </w:tblPr>
      <w:tr>
        <w:trPr>
          <w:trHeight w:val="283"/>
        </w:trPr>
        <w:tc>
          <w:tcPr>
            <w:tcW w:w="2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520" w:type="dxa"/>
            <w:vAlign w:val="bottom"/>
          </w:tcPr>
          <w:p>
            <w:pPr>
              <w:ind w:left="1200"/>
              <w:spacing w:after="0"/>
              <w:rPr>
                <w:sz w:val="20"/>
                <w:szCs w:val="20"/>
                <w:color w:val="auto"/>
              </w:rPr>
            </w:pPr>
            <w:r>
              <w:rPr>
                <w:rFonts w:ascii="Arial" w:cs="Arial" w:eastAsia="Arial" w:hAnsi="Arial"/>
                <w:sz w:val="18"/>
                <w:szCs w:val="18"/>
                <w:color w:val="auto"/>
              </w:rPr>
              <w:t>x</w:t>
            </w:r>
          </w:p>
        </w:tc>
        <w:tc>
          <w:tcPr>
            <w:tcW w:w="3240" w:type="dxa"/>
            <w:vAlign w:val="bottom"/>
          </w:tcPr>
          <w:p>
            <w:pPr>
              <w:ind w:left="180"/>
              <w:spacing w:after="0"/>
              <w:rPr>
                <w:sz w:val="20"/>
                <w:szCs w:val="20"/>
                <w:color w:val="auto"/>
              </w:rPr>
            </w:pPr>
            <w:r>
              <w:rPr>
                <w:rFonts w:ascii="Arial" w:cs="Arial" w:eastAsia="Arial" w:hAnsi="Arial"/>
                <w:sz w:val="18"/>
                <w:szCs w:val="18"/>
                <w:color w:val="auto"/>
              </w:rPr>
              <w:t>Accelerated filer</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820" w:type="dxa"/>
            <w:vAlign w:val="bottom"/>
          </w:tcPr>
          <w:p>
            <w:pPr>
              <w:spacing w:after="0"/>
              <w:rPr>
                <w:sz w:val="20"/>
                <w:szCs w:val="20"/>
                <w:color w:val="auto"/>
              </w:rPr>
            </w:pPr>
            <w:r>
              <w:rPr>
                <w:rFonts w:ascii="Arial" w:cs="Arial" w:eastAsia="Arial" w:hAnsi="Arial"/>
                <w:sz w:val="18"/>
                <w:szCs w:val="18"/>
                <w:color w:val="auto"/>
              </w:rPr>
              <w:t>Non-accelerated filer</w:t>
            </w:r>
          </w:p>
        </w:tc>
        <w:tc>
          <w:tcPr>
            <w:tcW w:w="152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180"/>
              <w:spacing w:after="0"/>
              <w:rPr>
                <w:sz w:val="20"/>
                <w:szCs w:val="20"/>
                <w:color w:val="auto"/>
              </w:rPr>
            </w:pPr>
            <w:r>
              <w:rPr>
                <w:rFonts w:ascii="Arial" w:cs="Arial" w:eastAsia="Arial" w:hAnsi="Arial"/>
                <w:sz w:val="18"/>
                <w:szCs w:val="18"/>
                <w:color w:val="auto"/>
              </w:rPr>
              <w:t>Smaller reporting company</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40" w:type="dxa"/>
            <w:vAlign w:val="bottom"/>
          </w:tcPr>
          <w:p>
            <w:pPr>
              <w:ind w:left="180"/>
              <w:spacing w:after="0"/>
              <w:rPr>
                <w:sz w:val="20"/>
                <w:szCs w:val="20"/>
                <w:color w:val="auto"/>
              </w:rPr>
            </w:pPr>
            <w:r>
              <w:rPr>
                <w:rFonts w:ascii="Arial" w:cs="Arial" w:eastAsia="Arial" w:hAnsi="Arial"/>
                <w:sz w:val="18"/>
                <w:szCs w:val="18"/>
                <w:color w:val="auto"/>
              </w:rPr>
              <w:t>Emerging growth company</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340"/>
          </w:cols>
          <w:pgMar w:left="240" w:top="225" w:right="319" w:bottom="0" w:gutter="0" w:footer="0" w:header="0"/>
        </w:sectPr>
      </w:pPr>
    </w:p>
    <w:bookmarkStart w:id="1" w:name="page2"/>
    <w:bookmarkEnd w:id="1"/>
    <w:p>
      <w:pPr>
        <w:spacing w:after="0" w:line="25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 w:lineRule="exact"/>
        <w:rPr>
          <w:sz w:val="20"/>
          <w:szCs w:val="20"/>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As of July 25, 2019, there were 53,273,888 shares of the registrant’s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177800</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194945</wp:posOffset>
            </wp:positionV>
            <wp:extent cx="7229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Vanda Pharmaceuticals Inc.</w:t>
      </w:r>
    </w:p>
    <w:p>
      <w:pPr>
        <w:spacing w:after="0" w:line="11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Quarterly Report on 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2019</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Page</w:t>
            </w:r>
          </w:p>
        </w:tc>
      </w:tr>
      <w:tr>
        <w:trPr>
          <w:trHeight w:val="189"/>
        </w:trPr>
        <w:tc>
          <w:tcPr>
            <w:tcW w:w="3160" w:type="dxa"/>
            <w:vAlign w:val="bottom"/>
            <w:tcBorders>
              <w:bottom w:val="single" w:sz="8" w:color="0000EE"/>
            </w:tcBorders>
            <w:gridSpan w:val="8"/>
          </w:tcPr>
          <w:p>
            <w:pPr>
              <w:spacing w:after="0" w:line="189"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 – FINANCIAL INFORMATION</w:t>
              </w:r>
            </w:hyperlink>
          </w:p>
        </w:tc>
        <w:tc>
          <w:tcPr>
            <w:tcW w:w="7780" w:type="dxa"/>
            <w:vAlign w:val="bottom"/>
            <w:gridSpan w:val="12"/>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2"/>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Financial Statements (Unaudited)</w:t>
              </w:r>
            </w:hyperlink>
          </w:p>
        </w:tc>
        <w:tc>
          <w:tcPr>
            <w:tcW w:w="7480" w:type="dxa"/>
            <w:vAlign w:val="bottom"/>
            <w:gridSpan w:val="10"/>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372"/>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Balance Sheets as of June 30, 2019 and December 31, 2018</w:t>
              </w:r>
            </w:hyperlink>
          </w:p>
        </w:tc>
        <w:tc>
          <w:tcPr>
            <w:tcW w:w="3760" w:type="dxa"/>
            <w:vAlign w:val="bottom"/>
            <w:gridSpan w:val="6"/>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372"/>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Operations for the three and six months ended June 30, 2019 and 2018</w:t>
              </w:r>
            </w:hyperlink>
          </w:p>
        </w:tc>
        <w:tc>
          <w:tcPr>
            <w:tcW w:w="44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Comprehensive Income for the three and six months ended June 30, 2019 and 2018</w:t>
              </w:r>
            </w:hyperlink>
          </w:p>
        </w:tc>
        <w:tc>
          <w:tcPr>
            <w:tcW w:w="1020" w:type="dxa"/>
            <w:vAlign w:val="bottom"/>
            <w:gridSpan w:val="2"/>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r>
      <w:tr>
        <w:trPr>
          <w:trHeight w:val="372"/>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EE"/>
                <w:w w:val="93"/>
              </w:rPr>
            </w:pPr>
            <w:hyperlink w:anchor="page9">
              <w:r>
                <w:rPr>
                  <w:rFonts w:ascii="Arial" w:cs="Arial" w:eastAsia="Arial" w:hAnsi="Arial"/>
                  <w:sz w:val="18"/>
                  <w:szCs w:val="18"/>
                  <w:color w:val="0000EE"/>
                  <w:w w:val="93"/>
                </w:rPr>
                <w:t>Condensed Consolidated Statement of Changes in Stockholders’ Equity for the three and six months ended June 30, 2019 and 2018</w:t>
              </w:r>
            </w:hyperlink>
          </w:p>
        </w:tc>
        <w:tc>
          <w:tcPr>
            <w:tcW w:w="44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r>
      <w:tr>
        <w:trPr>
          <w:trHeight w:val="372"/>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3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Condensed Consolidated Statements of Cash Flows for the six months ended June 30, 2019 and 2018</w:t>
              </w:r>
            </w:hyperlink>
          </w:p>
        </w:tc>
        <w:tc>
          <w:tcPr>
            <w:tcW w:w="2160" w:type="dxa"/>
            <w:vAlign w:val="bottom"/>
            <w:tcBorders>
              <w:top w:val="single" w:sz="8" w:color="0000EE"/>
            </w:tcBorders>
            <w:gridSpan w:val="3"/>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9</w:t>
              </w:r>
            </w:hyperlink>
          </w:p>
        </w:tc>
        <w:tc>
          <w:tcPr>
            <w:tcW w:w="20" w:type="dxa"/>
            <w:vAlign w:val="bottom"/>
          </w:tcPr>
          <w:p>
            <w:pPr>
              <w:spacing w:after="0"/>
              <w:rPr>
                <w:sz w:val="24"/>
                <w:szCs w:val="24"/>
                <w:color w:val="auto"/>
              </w:rPr>
            </w:pPr>
          </w:p>
        </w:tc>
      </w:tr>
      <w:tr>
        <w:trPr>
          <w:trHeight w:val="372"/>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60" w:type="dxa"/>
            <w:vAlign w:val="bottom"/>
            <w:gridSpan w:val="9"/>
          </w:tcPr>
          <w:p>
            <w:pPr>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Notes to the Condensed Consolidated Financial Statements</w:t>
              </w:r>
            </w:hyperlink>
          </w:p>
        </w:tc>
        <w:tc>
          <w:tcPr>
            <w:tcW w:w="5640" w:type="dxa"/>
            <w:vAlign w:val="bottom"/>
            <w:gridSpan w:val="9"/>
          </w:tcPr>
          <w:p>
            <w:pPr>
              <w:spacing w:after="0"/>
              <w:rPr>
                <w:sz w:val="24"/>
                <w:szCs w:val="24"/>
                <w:color w:val="auto"/>
              </w:rPr>
            </w:pPr>
          </w:p>
        </w:tc>
        <w:tc>
          <w:tcPr>
            <w:tcW w:w="440" w:type="dxa"/>
            <w:vAlign w:val="bottom"/>
            <w:gridSpan w:val="4"/>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10</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3"/>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Management’s Discussion and Analysis of Financial Condition and Results of Operations</w:t>
              </w:r>
            </w:hyperlink>
          </w:p>
        </w:tc>
        <w:tc>
          <w:tcPr>
            <w:tcW w:w="3440" w:type="dxa"/>
            <w:vAlign w:val="bottom"/>
            <w:gridSpan w:val="5"/>
          </w:tcPr>
          <w:p>
            <w:pPr>
              <w:spacing w:after="0"/>
              <w:rPr>
                <w:sz w:val="24"/>
                <w:szCs w:val="24"/>
                <w:color w:val="auto"/>
              </w:rPr>
            </w:pPr>
          </w:p>
        </w:tc>
        <w:tc>
          <w:tcPr>
            <w:tcW w:w="44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3440" w:type="dxa"/>
            <w:vAlign w:val="bottom"/>
            <w:gridSpan w:val="5"/>
          </w:tcPr>
          <w:p>
            <w:pPr>
              <w:spacing w:after="0"/>
              <w:rPr>
                <w:sz w:val="24"/>
                <w:szCs w:val="24"/>
                <w:color w:val="auto"/>
              </w:rPr>
            </w:pPr>
          </w:p>
        </w:tc>
        <w:tc>
          <w:tcPr>
            <w:tcW w:w="44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00" w:type="dxa"/>
            <w:vAlign w:val="bottom"/>
            <w:gridSpan w:val="1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5600" w:type="dxa"/>
            <w:vAlign w:val="bottom"/>
            <w:gridSpan w:val="8"/>
          </w:tcPr>
          <w:p>
            <w:pPr>
              <w:spacing w:after="0"/>
              <w:rPr>
                <w:sz w:val="24"/>
                <w:szCs w:val="24"/>
                <w:color w:val="auto"/>
              </w:rPr>
            </w:pPr>
          </w:p>
        </w:tc>
        <w:tc>
          <w:tcPr>
            <w:tcW w:w="44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280" w:type="dxa"/>
            <w:vAlign w:val="bottom"/>
            <w:tcBorders>
              <w:bottom w:val="single" w:sz="8" w:color="0000EE"/>
            </w:tcBorders>
            <w:gridSpan w:val="5"/>
          </w:tcPr>
          <w:p>
            <w:pPr>
              <w:spacing w:after="0"/>
              <w:rPr>
                <w:rFonts w:ascii="Arial" w:cs="Arial" w:eastAsia="Arial" w:hAnsi="Arial"/>
                <w:sz w:val="18"/>
                <w:szCs w:val="18"/>
                <w:b w:val="1"/>
                <w:bCs w:val="1"/>
                <w:color w:val="0000EE"/>
                <w:w w:val="95"/>
              </w:rPr>
            </w:pPr>
            <w:hyperlink w:anchor="page38">
              <w:r>
                <w:rPr>
                  <w:rFonts w:ascii="Arial" w:cs="Arial" w:eastAsia="Arial" w:hAnsi="Arial"/>
                  <w:sz w:val="18"/>
                  <w:szCs w:val="18"/>
                  <w:b w:val="1"/>
                  <w:bCs w:val="1"/>
                  <w:color w:val="0000EE"/>
                  <w:w w:val="95"/>
                </w:rPr>
                <w:t>PART II – Other Information</w:t>
              </w:r>
            </w:hyperlink>
          </w:p>
        </w:tc>
        <w:tc>
          <w:tcPr>
            <w:tcW w:w="8660" w:type="dxa"/>
            <w:vAlign w:val="bottom"/>
            <w:gridSpan w:val="15"/>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0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44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Risk Factors</w:t>
              </w:r>
            </w:hyperlink>
          </w:p>
        </w:tc>
        <w:tc>
          <w:tcPr>
            <w:tcW w:w="400" w:type="dxa"/>
            <w:vAlign w:val="bottom"/>
            <w:gridSpan w:val="2"/>
          </w:tcPr>
          <w:p>
            <w:pPr>
              <w:spacing w:after="0"/>
              <w:rPr>
                <w:sz w:val="24"/>
                <w:szCs w:val="24"/>
                <w:color w:val="auto"/>
              </w:rPr>
            </w:pPr>
          </w:p>
        </w:tc>
        <w:tc>
          <w:tcPr>
            <w:tcW w:w="8600" w:type="dxa"/>
            <w:vAlign w:val="bottom"/>
            <w:gridSpan w:val="14"/>
          </w:tcPr>
          <w:p>
            <w:pPr>
              <w:spacing w:after="0"/>
              <w:rPr>
                <w:sz w:val="24"/>
                <w:szCs w:val="24"/>
                <w:color w:val="auto"/>
              </w:rPr>
            </w:pPr>
          </w:p>
        </w:tc>
        <w:tc>
          <w:tcPr>
            <w:tcW w:w="44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00" w:type="dxa"/>
            <w:vAlign w:val="bottom"/>
            <w:gridSpan w:val="1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44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7"/>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Defaults Upon Senior Securities</w:t>
              </w:r>
            </w:hyperlink>
          </w:p>
        </w:tc>
        <w:tc>
          <w:tcPr>
            <w:tcW w:w="2020" w:type="dxa"/>
            <w:vAlign w:val="bottom"/>
            <w:gridSpan w:val="4"/>
          </w:tcPr>
          <w:p>
            <w:pPr>
              <w:spacing w:after="0"/>
              <w:rPr>
                <w:sz w:val="24"/>
                <w:szCs w:val="24"/>
                <w:color w:val="auto"/>
              </w:rPr>
            </w:pPr>
          </w:p>
        </w:tc>
        <w:tc>
          <w:tcPr>
            <w:tcW w:w="5560" w:type="dxa"/>
            <w:vAlign w:val="bottom"/>
            <w:gridSpan w:val="7"/>
          </w:tcPr>
          <w:p>
            <w:pPr>
              <w:spacing w:after="0"/>
              <w:rPr>
                <w:sz w:val="24"/>
                <w:szCs w:val="24"/>
                <w:color w:val="auto"/>
              </w:rPr>
            </w:pPr>
          </w:p>
        </w:tc>
        <w:tc>
          <w:tcPr>
            <w:tcW w:w="44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7580" w:type="dxa"/>
            <w:vAlign w:val="bottom"/>
            <w:gridSpan w:val="1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7580" w:type="dxa"/>
            <w:vAlign w:val="bottom"/>
            <w:gridSpan w:val="11"/>
          </w:tcPr>
          <w:p>
            <w:pPr>
              <w:spacing w:after="0"/>
              <w:rPr>
                <w:sz w:val="24"/>
                <w:szCs w:val="24"/>
                <w:color w:val="auto"/>
              </w:rPr>
            </w:pPr>
          </w:p>
        </w:tc>
        <w:tc>
          <w:tcPr>
            <w:tcW w:w="44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140" w:type="dxa"/>
            <w:vAlign w:val="bottom"/>
            <w:gridSpan w:val="1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8140" w:type="dxa"/>
            <w:vAlign w:val="bottom"/>
            <w:gridSpan w:val="13"/>
          </w:tcPr>
          <w:p>
            <w:pPr>
              <w:spacing w:after="0"/>
              <w:rPr>
                <w:sz w:val="24"/>
                <w:szCs w:val="24"/>
                <w:color w:val="auto"/>
              </w:rPr>
            </w:pPr>
          </w:p>
        </w:tc>
        <w:tc>
          <w:tcPr>
            <w:tcW w:w="44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600" w:type="dxa"/>
            <w:vAlign w:val="bottom"/>
            <w:gridSpan w:val="1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Exhibits</w:t>
              </w:r>
            </w:hyperlink>
          </w:p>
        </w:tc>
        <w:tc>
          <w:tcPr>
            <w:tcW w:w="700" w:type="dxa"/>
            <w:vAlign w:val="bottom"/>
            <w:gridSpan w:val="3"/>
          </w:tcPr>
          <w:p>
            <w:pPr>
              <w:spacing w:after="0"/>
              <w:rPr>
                <w:sz w:val="24"/>
                <w:szCs w:val="24"/>
                <w:color w:val="auto"/>
              </w:rPr>
            </w:pPr>
          </w:p>
        </w:tc>
        <w:tc>
          <w:tcPr>
            <w:tcW w:w="8600" w:type="dxa"/>
            <w:vAlign w:val="bottom"/>
            <w:gridSpan w:val="14"/>
          </w:tcPr>
          <w:p>
            <w:pPr>
              <w:spacing w:after="0"/>
              <w:rPr>
                <w:sz w:val="24"/>
                <w:szCs w:val="24"/>
                <w:color w:val="auto"/>
              </w:rPr>
            </w:pPr>
          </w:p>
        </w:tc>
        <w:tc>
          <w:tcPr>
            <w:tcW w:w="44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507"/>
        </w:trPr>
        <w:tc>
          <w:tcPr>
            <w:tcW w:w="7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140" w:type="dxa"/>
            <w:vAlign w:val="bottom"/>
            <w:gridSpan w:val="12"/>
          </w:tcPr>
          <w:p>
            <w:pPr>
              <w:ind w:left="45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12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Various statements throughout this report are “forward-looking statements” within the meaning of the Private Securities Litigation Reform Act of 1995. Words such as, but not limited to, “believe,” “expect,” “anticipate,” “estimate,” “intend,” “plan,” “project,” “target,” “goal,” “likely,” “will,” “would,” and “could,” or the negative of these terms and similar expressions or words, identify forward-looking statements. Forward-looking statements are based upon current expectations that involve risks, changes in circumstances, assumptions and uncertainties. Important factors that could cause actual results to differ materially from those reflected in our forward-looking statements include, among others:</w:t>
      </w:r>
    </w:p>
    <w:p>
      <w:pPr>
        <w:spacing w:after="0" w:line="78" w:lineRule="exact"/>
        <w:rPr>
          <w:sz w:val="20"/>
          <w:szCs w:val="20"/>
          <w:color w:val="auto"/>
        </w:rPr>
      </w:pPr>
    </w:p>
    <w:p>
      <w:pPr>
        <w:ind w:left="660" w:right="40" w:hanging="328"/>
        <w:spacing w:after="0" w:line="23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Vanda Pharmaceuticals Inc. (we, our, the Company or Vanda) to continue to commercialize HETLIOZ</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(tasimelteon) for the treatment of non-24-hour sleep-wake disorder (Non-24) in the United States (U.S.) and Europe;</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as to the ability to increase market awareness of Non-24 and the market acceptance of HETLIOZ</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generate U.S. sales of Fanapt</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(iloperidone) for the treatment of schizophrenia;</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third-party manufacturers to manufacture HETLIOZ</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Fanapt</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sufficient quantities and quality;</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level of success in commercializing HETLIOZ</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Fanapt</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new markets;</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prepare, file, prosecute, defend and enforce any patent claims and other intellectual property rights;</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reach agreement with the U.S. Food and Drug Administration (FDA) regarding our regulatory approval strategy, preclinical animal testing requirements or proposed path to approval for tradipitant;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loss of rights to develop and commercialize our products under our license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obtain and maintain regulatory approval of our products, and the labeling for any approved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preclinical studies and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failure of our products to be demonstrably safe and effective;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of the potential markets for our products and the ability to serve those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trends with respect to our revenues, costs, expenses, liabilities and cash, cash equivalents and marketable securities;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progress, expansion, and costs of developing and commercializing our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identify or obtain rights to new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loss of any of our key scientists or management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limitations on our ability to utilize some or all of our prior net operating losses and orphan drug and research and development credits;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and effects of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the capital necessary to fund our research and development or commercial activities;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incurred from product liability claims made against us;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of our existing cash, cash equivalents and marketable securities.</w:t>
      </w:r>
    </w:p>
    <w:p>
      <w:pPr>
        <w:spacing w:after="0" w:line="2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written and verbal forward-looking statements attributable to us or any person acting on our behalf are expressly qualified in their entirety by the cautionary statements contained or referred to in this section. We caution investors not to rely too heavily on the forward-looking statements we make or that are made on our behalf. We undertake no obligation, and specifically decline any obligation, to update or revise publicly any forward-looking statements, whether as a result of new information, future events or otherwise.</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We encourage you to read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xml:space="preserve"> and our unaudited condensed consolidated financial statements contained in this quarterly report on Form 10-Q. In addition to the risks described below and in Item 1A of Part I of our annual report on Form 10-K for the fiscal year ended December 31, 2018, other unknown or unpredictable factors also could affect our results. Therefore, the information in this quarterly report should be read together with other reports and documents that we file with the Securities and Exchange Commission from time to time, including on Form 10-Q and Form 8-K, which may supplement, modify, supersede or update those risk factors. As a result of these factors, we cannot assure you that the forward-looking statements in this report will prove to be accurate. Furthermore, if our forward-looking statements prove to be inaccurate, the inaccuracy may be material. In light of the significant uncertainties</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118" w:right="29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these forward-looking statements, you should not regard these statements as a representation or warranty by us or any other person that we will achieve our objectives and plans in any specified time frame, or at all.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18" w:right="27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Part I — FINANCIAL INFORMATION</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05"/>
        </w:trPr>
        <w:tc>
          <w:tcPr>
            <w:tcW w:w="66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7460" w:type="dxa"/>
            <w:vAlign w:val="bottom"/>
          </w:tcPr>
          <w:p>
            <w:pPr>
              <w:ind w:left="640"/>
              <w:spacing w:after="0"/>
              <w:rPr>
                <w:sz w:val="20"/>
                <w:szCs w:val="20"/>
                <w:color w:val="auto"/>
              </w:rPr>
            </w:pPr>
            <w:r>
              <w:rPr>
                <w:rFonts w:ascii="Arial" w:cs="Arial" w:eastAsia="Arial" w:hAnsi="Arial"/>
                <w:sz w:val="18"/>
                <w:szCs w:val="18"/>
                <w:b w:val="1"/>
                <w:bCs w:val="1"/>
                <w:color w:val="auto"/>
              </w:rPr>
              <w:t>Financial Statements (Unaudited)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1"/>
        </w:trPr>
        <w:tc>
          <w:tcPr>
            <w:tcW w:w="660" w:type="dxa"/>
            <w:vAlign w:val="bottom"/>
          </w:tcPr>
          <w:p>
            <w:pPr>
              <w:spacing w:after="0"/>
              <w:rPr>
                <w:sz w:val="24"/>
                <w:szCs w:val="24"/>
                <w:color w:val="auto"/>
              </w:rPr>
            </w:pPr>
          </w:p>
        </w:tc>
        <w:tc>
          <w:tcPr>
            <w:tcW w:w="7460" w:type="dxa"/>
            <w:vAlign w:val="bottom"/>
          </w:tcPr>
          <w:p>
            <w:pPr>
              <w:ind w:left="3580"/>
              <w:spacing w:after="0"/>
              <w:rPr>
                <w:sz w:val="20"/>
                <w:szCs w:val="20"/>
                <w:color w:val="auto"/>
              </w:rPr>
            </w:pPr>
            <w:r>
              <w:rPr>
                <w:rFonts w:ascii="Arial" w:cs="Arial" w:eastAsia="Arial" w:hAnsi="Arial"/>
                <w:sz w:val="18"/>
                <w:szCs w:val="18"/>
                <w:b w:val="1"/>
                <w:bCs w:val="1"/>
                <w:color w:val="auto"/>
              </w:rPr>
              <w:t>VANDA PHARMACEUTICALS INC.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4"/>
        </w:trPr>
        <w:tc>
          <w:tcPr>
            <w:tcW w:w="660" w:type="dxa"/>
            <w:vAlign w:val="bottom"/>
          </w:tcPr>
          <w:p>
            <w:pPr>
              <w:spacing w:after="0"/>
              <w:rPr>
                <w:sz w:val="20"/>
                <w:szCs w:val="20"/>
                <w:color w:val="auto"/>
              </w:rPr>
            </w:pPr>
          </w:p>
        </w:tc>
        <w:tc>
          <w:tcPr>
            <w:tcW w:w="7840" w:type="dxa"/>
            <w:vAlign w:val="bottom"/>
            <w:gridSpan w:val="2"/>
          </w:tcPr>
          <w:p>
            <w:pPr>
              <w:ind w:left="2420"/>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45"/>
        </w:trPr>
        <w:tc>
          <w:tcPr>
            <w:tcW w:w="6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4"/>
                <w:szCs w:val="24"/>
                <w:color w:val="auto"/>
              </w:rPr>
            </w:pPr>
          </w:p>
        </w:tc>
        <w:tc>
          <w:tcPr>
            <w:tcW w:w="1360" w:type="dxa"/>
            <w:vAlign w:val="bottom"/>
          </w:tcPr>
          <w:p>
            <w:pPr>
              <w:jc w:val="right"/>
              <w:ind w:right="31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(in thousands, except for share and per share amounts)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66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61,005</w:t>
            </w:r>
          </w:p>
        </w:tc>
      </w:tr>
      <w:tr>
        <w:trPr>
          <w:trHeight w:val="243"/>
        </w:trPr>
        <w:tc>
          <w:tcPr>
            <w:tcW w:w="660" w:type="dxa"/>
            <w:vAlign w:val="bottom"/>
          </w:tcPr>
          <w:p>
            <w:pPr>
              <w:spacing w:after="0"/>
              <w:rPr>
                <w:sz w:val="21"/>
                <w:szCs w:val="21"/>
                <w:color w:val="auto"/>
              </w:rPr>
            </w:pPr>
          </w:p>
        </w:tc>
        <w:tc>
          <w:tcPr>
            <w:tcW w:w="7460" w:type="dxa"/>
            <w:vAlign w:val="bottom"/>
          </w:tcPr>
          <w:p>
            <w:pPr>
              <w:ind w:left="60"/>
              <w:spacing w:after="0"/>
              <w:rPr>
                <w:sz w:val="20"/>
                <w:szCs w:val="20"/>
                <w:color w:val="auto"/>
              </w:rPr>
            </w:pPr>
            <w:r>
              <w:rPr>
                <w:rFonts w:ascii="Arial" w:cs="Arial" w:eastAsia="Arial" w:hAnsi="Arial"/>
                <w:sz w:val="18"/>
                <w:szCs w:val="18"/>
                <w:color w:val="auto"/>
              </w:rPr>
              <w:t>Marketable securities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233,618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196,355</w:t>
            </w:r>
          </w:p>
        </w:tc>
      </w:tr>
      <w:tr>
        <w:trPr>
          <w:trHeight w:val="27"/>
        </w:trPr>
        <w:tc>
          <w:tcPr>
            <w:tcW w:w="66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Accounts receivable,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28,780</w:t>
            </w:r>
          </w:p>
        </w:tc>
      </w:tr>
      <w:tr>
        <w:trPr>
          <w:trHeight w:val="243"/>
        </w:trPr>
        <w:tc>
          <w:tcPr>
            <w:tcW w:w="660" w:type="dxa"/>
            <w:vAlign w:val="bottom"/>
          </w:tcPr>
          <w:p>
            <w:pPr>
              <w:spacing w:after="0"/>
              <w:rPr>
                <w:sz w:val="21"/>
                <w:szCs w:val="21"/>
                <w:color w:val="auto"/>
              </w:rPr>
            </w:pPr>
          </w:p>
        </w:tc>
        <w:tc>
          <w:tcPr>
            <w:tcW w:w="7460" w:type="dxa"/>
            <w:vAlign w:val="bottom"/>
          </w:tcPr>
          <w:p>
            <w:pPr>
              <w:ind w:left="60"/>
              <w:spacing w:after="0"/>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994</w:t>
            </w:r>
          </w:p>
        </w:tc>
      </w:tr>
      <w:tr>
        <w:trPr>
          <w:trHeight w:val="27"/>
        </w:trPr>
        <w:tc>
          <w:tcPr>
            <w:tcW w:w="66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60" w:type="dxa"/>
            <w:vAlign w:val="bottom"/>
            <w:tcBorders>
              <w:bottom w:val="single" w:sz="8" w:color="CCEEFF"/>
            </w:tcBorders>
            <w:shd w:val="clear" w:color="auto" w:fill="CCEEFF"/>
          </w:tcPr>
          <w:p>
            <w:pPr>
              <w:spacing w:after="0"/>
              <w:rPr>
                <w:sz w:val="23"/>
                <w:szCs w:val="23"/>
                <w:color w:val="auto"/>
              </w:rPr>
            </w:pPr>
          </w:p>
        </w:tc>
        <w:tc>
          <w:tcPr>
            <w:tcW w:w="7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11,998</w:t>
            </w:r>
          </w:p>
        </w:tc>
      </w:tr>
      <w:tr>
        <w:trPr>
          <w:trHeight w:val="237"/>
        </w:trPr>
        <w:tc>
          <w:tcPr>
            <w:tcW w:w="660" w:type="dxa"/>
            <w:vAlign w:val="bottom"/>
          </w:tcPr>
          <w:p>
            <w:pPr>
              <w:spacing w:after="0"/>
              <w:rPr>
                <w:sz w:val="20"/>
                <w:szCs w:val="20"/>
                <w:color w:val="auto"/>
              </w:rPr>
            </w:pPr>
          </w:p>
        </w:tc>
        <w:tc>
          <w:tcPr>
            <w:tcW w:w="746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315,802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299,132</w:t>
            </w:r>
          </w:p>
        </w:tc>
      </w:tr>
      <w:tr>
        <w:trPr>
          <w:trHeight w:val="27"/>
        </w:trPr>
        <w:tc>
          <w:tcPr>
            <w:tcW w:w="81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Marketable securities, non-current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4,417</w:t>
            </w:r>
          </w:p>
        </w:tc>
      </w:tr>
      <w:tr>
        <w:trPr>
          <w:trHeight w:val="27"/>
        </w:trPr>
        <w:tc>
          <w:tcPr>
            <w:tcW w:w="81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Intangible assets,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23,783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24,542</w:t>
            </w:r>
          </w:p>
        </w:tc>
      </w:tr>
      <w:tr>
        <w:trPr>
          <w:trHeight w:val="27"/>
        </w:trPr>
        <w:tc>
          <w:tcPr>
            <w:tcW w:w="81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Non-current inventory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4,039</w:t>
            </w:r>
          </w:p>
        </w:tc>
      </w:tr>
      <w:tr>
        <w:trPr>
          <w:trHeight w:val="237"/>
        </w:trPr>
        <w:tc>
          <w:tcPr>
            <w:tcW w:w="660" w:type="dxa"/>
            <w:vAlign w:val="bottom"/>
          </w:tcPr>
          <w:p>
            <w:pPr>
              <w:spacing w:after="0"/>
              <w:rPr>
                <w:sz w:val="20"/>
                <w:szCs w:val="20"/>
                <w:color w:val="auto"/>
              </w:rPr>
            </w:pPr>
          </w:p>
        </w:tc>
        <w:tc>
          <w:tcPr>
            <w:tcW w:w="746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372,483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332,130</w:t>
            </w:r>
          </w:p>
        </w:tc>
      </w:tr>
      <w:tr>
        <w:trPr>
          <w:trHeight w:val="67"/>
        </w:trPr>
        <w:tc>
          <w:tcPr>
            <w:tcW w:w="8120" w:type="dxa"/>
            <w:vAlign w:val="bottom"/>
            <w:tcBorders>
              <w:bottom w:val="single" w:sz="8" w:color="CCEEFF"/>
            </w:tcBorders>
            <w:gridSpan w:val="2"/>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b w:val="1"/>
                <w:bCs w:val="1"/>
                <w:color w:val="auto"/>
              </w:rPr>
              <w:t>Current liabilities: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66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21,584</w:t>
            </w:r>
          </w:p>
        </w:tc>
      </w:tr>
      <w:tr>
        <w:trPr>
          <w:trHeight w:val="243"/>
        </w:trPr>
        <w:tc>
          <w:tcPr>
            <w:tcW w:w="660" w:type="dxa"/>
            <w:vAlign w:val="bottom"/>
          </w:tcPr>
          <w:p>
            <w:pPr>
              <w:spacing w:after="0"/>
              <w:rPr>
                <w:sz w:val="21"/>
                <w:szCs w:val="21"/>
                <w:color w:val="auto"/>
              </w:rPr>
            </w:pPr>
          </w:p>
        </w:tc>
        <w:tc>
          <w:tcPr>
            <w:tcW w:w="7460" w:type="dxa"/>
            <w:vAlign w:val="bottom"/>
          </w:tcPr>
          <w:p>
            <w:pPr>
              <w:ind w:left="60"/>
              <w:spacing w:after="0"/>
              <w:rPr>
                <w:sz w:val="20"/>
                <w:szCs w:val="20"/>
                <w:color w:val="auto"/>
              </w:rPr>
            </w:pPr>
            <w:r>
              <w:rPr>
                <w:rFonts w:ascii="Arial" w:cs="Arial" w:eastAsia="Arial" w:hAnsi="Arial"/>
                <w:sz w:val="18"/>
                <w:szCs w:val="18"/>
                <w:color w:val="auto"/>
              </w:rPr>
              <w:t>Product revenue allowances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33,269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31,231</w:t>
            </w:r>
          </w:p>
        </w:tc>
      </w:tr>
      <w:tr>
        <w:trPr>
          <w:trHeight w:val="27"/>
        </w:trPr>
        <w:tc>
          <w:tcPr>
            <w:tcW w:w="66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60" w:type="dxa"/>
            <w:vAlign w:val="bottom"/>
            <w:tcBorders>
              <w:bottom w:val="single" w:sz="8" w:color="CCEEFF"/>
            </w:tcBorders>
            <w:shd w:val="clear" w:color="auto" w:fill="CCEEFF"/>
          </w:tcPr>
          <w:p>
            <w:pPr>
              <w:spacing w:after="0"/>
              <w:rPr>
                <w:sz w:val="23"/>
                <w:szCs w:val="23"/>
                <w:color w:val="auto"/>
              </w:rPr>
            </w:pPr>
          </w:p>
        </w:tc>
        <w:tc>
          <w:tcPr>
            <w:tcW w:w="7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Milestone obligations under license agreements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r>
      <w:tr>
        <w:trPr>
          <w:trHeight w:val="237"/>
        </w:trPr>
        <w:tc>
          <w:tcPr>
            <w:tcW w:w="660" w:type="dxa"/>
            <w:vAlign w:val="bottom"/>
          </w:tcPr>
          <w:p>
            <w:pPr>
              <w:spacing w:after="0"/>
              <w:rPr>
                <w:sz w:val="20"/>
                <w:szCs w:val="20"/>
                <w:color w:val="auto"/>
              </w:rPr>
            </w:pPr>
          </w:p>
        </w:tc>
        <w:tc>
          <w:tcPr>
            <w:tcW w:w="746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62,576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53,015</w:t>
            </w:r>
          </w:p>
        </w:tc>
      </w:tr>
      <w:tr>
        <w:trPr>
          <w:trHeight w:val="27"/>
        </w:trPr>
        <w:tc>
          <w:tcPr>
            <w:tcW w:w="66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non-current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60" w:type="dxa"/>
            <w:vAlign w:val="bottom"/>
          </w:tcPr>
          <w:p>
            <w:pPr>
              <w:spacing w:after="0"/>
              <w:rPr>
                <w:sz w:val="21"/>
                <w:szCs w:val="21"/>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3,693</w:t>
            </w:r>
          </w:p>
        </w:tc>
      </w:tr>
      <w:tr>
        <w:trPr>
          <w:trHeight w:val="27"/>
        </w:trPr>
        <w:tc>
          <w:tcPr>
            <w:tcW w:w="660" w:type="dxa"/>
            <w:vAlign w:val="bottom"/>
            <w:tcBorders>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660" w:type="dxa"/>
            <w:vAlign w:val="bottom"/>
            <w:tcBorders>
              <w:bottom w:val="single" w:sz="8" w:color="CCEEFF"/>
            </w:tcBorders>
            <w:shd w:val="clear" w:color="auto" w:fill="CCEEFF"/>
          </w:tcPr>
          <w:p>
            <w:pPr>
              <w:spacing w:after="0"/>
              <w:rPr>
                <w:sz w:val="22"/>
                <w:szCs w:val="22"/>
                <w:color w:val="auto"/>
              </w:rPr>
            </w:pPr>
          </w:p>
        </w:tc>
        <w:tc>
          <w:tcPr>
            <w:tcW w:w="74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56,708</w:t>
            </w:r>
          </w:p>
        </w:tc>
      </w:tr>
      <w:tr>
        <w:trPr>
          <w:trHeight w:val="223"/>
        </w:trPr>
        <w:tc>
          <w:tcPr>
            <w:tcW w:w="8120" w:type="dxa"/>
            <w:vAlign w:val="bottom"/>
            <w:gridSpan w:val="2"/>
          </w:tcPr>
          <w:p>
            <w:pPr>
              <w:ind w:left="380"/>
              <w:spacing w:after="0"/>
              <w:rPr>
                <w:sz w:val="20"/>
                <w:szCs w:val="20"/>
                <w:color w:val="auto"/>
              </w:rPr>
            </w:pPr>
            <w:r>
              <w:rPr>
                <w:rFonts w:ascii="Arial" w:cs="Arial" w:eastAsia="Arial" w:hAnsi="Arial"/>
                <w:sz w:val="18"/>
                <w:szCs w:val="18"/>
                <w:b w:val="1"/>
                <w:bCs w:val="1"/>
                <w:color w:val="auto"/>
              </w:rPr>
              <w:t>Commitments and contingencies (Notes 9 and 15)</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41"/>
        </w:trPr>
        <w:tc>
          <w:tcPr>
            <w:tcW w:w="812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7460" w:type="dxa"/>
            <w:vAlign w:val="bottom"/>
          </w:tcPr>
          <w:p>
            <w:pPr>
              <w:ind w:left="60"/>
              <w:spacing w:after="0"/>
              <w:rPr>
                <w:sz w:val="20"/>
                <w:szCs w:val="20"/>
                <w:color w:val="auto"/>
              </w:rPr>
            </w:pPr>
            <w:r>
              <w:rPr>
                <w:rFonts w:ascii="Arial" w:cs="Arial" w:eastAsia="Arial" w:hAnsi="Arial"/>
                <w:sz w:val="18"/>
                <w:szCs w:val="18"/>
                <w:color w:val="auto"/>
                <w:w w:val="90"/>
              </w:rPr>
              <w:t>Preferred stock, $0.001 par value; 20,000,000 shares authorized, and no shares issued or outstanding</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6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660" w:type="dxa"/>
            <w:vAlign w:val="bottom"/>
            <w:shd w:val="clear" w:color="auto" w:fill="CCEEFF"/>
          </w:tcPr>
          <w:p>
            <w:pPr>
              <w:spacing w:after="0"/>
              <w:rPr>
                <w:sz w:val="19"/>
                <w:szCs w:val="19"/>
                <w:color w:val="auto"/>
              </w:rPr>
            </w:pPr>
          </w:p>
        </w:tc>
        <w:tc>
          <w:tcPr>
            <w:tcW w:w="7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0"/>
              </w:rPr>
              <w:t>Common stock, $0.001 par value; 150,000,000 shares authorized; 53,264,784 and 52,477,593 shares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660" w:type="dxa"/>
            <w:vAlign w:val="bottom"/>
            <w:tcBorders>
              <w:bottom w:val="single" w:sz="8" w:color="CCEEFF"/>
            </w:tcBorders>
            <w:shd w:val="clear" w:color="auto" w:fill="CCEEFF"/>
          </w:tcPr>
          <w:p>
            <w:pPr>
              <w:spacing w:after="0"/>
              <w:rPr>
                <w:sz w:val="20"/>
                <w:szCs w:val="20"/>
                <w:color w:val="auto"/>
              </w:rPr>
            </w:pPr>
          </w:p>
        </w:tc>
        <w:tc>
          <w:tcPr>
            <w:tcW w:w="7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issued and outstanding at June 30, 2019 and December 31, 2018, respectively</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r>
      <w:tr>
        <w:trPr>
          <w:trHeight w:val="243"/>
        </w:trPr>
        <w:tc>
          <w:tcPr>
            <w:tcW w:w="660" w:type="dxa"/>
            <w:vAlign w:val="bottom"/>
          </w:tcPr>
          <w:p>
            <w:pPr>
              <w:spacing w:after="0"/>
              <w:rPr>
                <w:sz w:val="21"/>
                <w:szCs w:val="21"/>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621,559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611,587</w:t>
            </w:r>
          </w:p>
        </w:tc>
      </w:tr>
      <w:tr>
        <w:trPr>
          <w:trHeight w:val="27"/>
        </w:trPr>
        <w:tc>
          <w:tcPr>
            <w:tcW w:w="66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Accumulated other comprehensive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660" w:type="dxa"/>
            <w:vAlign w:val="bottom"/>
          </w:tcPr>
          <w:p>
            <w:pPr>
              <w:spacing w:after="0"/>
              <w:rPr>
                <w:sz w:val="21"/>
                <w:szCs w:val="21"/>
                <w:color w:val="auto"/>
              </w:rPr>
            </w:pPr>
          </w:p>
        </w:tc>
        <w:tc>
          <w:tcPr>
            <w:tcW w:w="7460" w:type="dxa"/>
            <w:vAlign w:val="bottom"/>
          </w:tcPr>
          <w:p>
            <w:pPr>
              <w:ind w:left="60"/>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(325,304)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(336,218)</w:t>
            </w:r>
          </w:p>
        </w:tc>
      </w:tr>
      <w:tr>
        <w:trPr>
          <w:trHeight w:val="27"/>
        </w:trPr>
        <w:tc>
          <w:tcPr>
            <w:tcW w:w="660" w:type="dxa"/>
            <w:vAlign w:val="bottom"/>
            <w:tcBorders>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660" w:type="dxa"/>
            <w:vAlign w:val="bottom"/>
            <w:tcBorders>
              <w:bottom w:val="single" w:sz="8" w:color="CCEEFF"/>
            </w:tcBorders>
            <w:shd w:val="clear" w:color="auto" w:fill="CCEEFF"/>
          </w:tcPr>
          <w:p>
            <w:pPr>
              <w:spacing w:after="0"/>
              <w:rPr>
                <w:sz w:val="22"/>
                <w:szCs w:val="22"/>
                <w:color w:val="auto"/>
              </w:rPr>
            </w:pPr>
          </w:p>
        </w:tc>
        <w:tc>
          <w:tcPr>
            <w:tcW w:w="74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296,694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275,422</w:t>
            </w:r>
          </w:p>
        </w:tc>
      </w:tr>
      <w:tr>
        <w:trPr>
          <w:trHeight w:val="237"/>
        </w:trPr>
        <w:tc>
          <w:tcPr>
            <w:tcW w:w="660" w:type="dxa"/>
            <w:vAlign w:val="bottom"/>
          </w:tcPr>
          <w:p>
            <w:pPr>
              <w:spacing w:after="0"/>
              <w:rPr>
                <w:sz w:val="20"/>
                <w:szCs w:val="20"/>
                <w:color w:val="auto"/>
              </w:rPr>
            </w:pPr>
          </w:p>
        </w:tc>
        <w:tc>
          <w:tcPr>
            <w:tcW w:w="7460" w:type="dxa"/>
            <w:vAlign w:val="bottom"/>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372,483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332,130</w:t>
            </w:r>
          </w:p>
        </w:tc>
      </w:tr>
      <w:tr>
        <w:trPr>
          <w:trHeight w:val="27"/>
        </w:trPr>
        <w:tc>
          <w:tcPr>
            <w:tcW w:w="66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6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VANDA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91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97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2"/>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 except for share and per share amounts)</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product sales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59,060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47,350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106,773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90,942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59,060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47,350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106,773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90,942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goods sold excluding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9,773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10,950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9,866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24,228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19,282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31,468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62,497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54,782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Intangible asset amortization</w:t>
            </w:r>
          </w:p>
        </w:tc>
        <w:tc>
          <w:tcPr>
            <w:tcW w:w="3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49,165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43,437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98,965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84,587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9,895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3,913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7,808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11,544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10,942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7,765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11,526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4,611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10,914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7,677</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per share:</w:t>
            </w: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53,101,499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52,172,982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52,928,101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49,270,829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54,579,982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53,945,640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54,932,932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51,101,464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VANDA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4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11,526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4,611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10,914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7,677</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foreign currency translation gain (loss)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w w:val="97"/>
              </w:rPr>
              <w:t>Change in net unrealized gain on marketable securities</w:t>
            </w:r>
          </w:p>
        </w:tc>
        <w:tc>
          <w:tcPr>
            <w:tcW w:w="32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126</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provision on other comprehensive income (loss)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113</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11,777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7,790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VANDA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520" w:type="dxa"/>
            <w:vAlign w:val="bottom"/>
            <w:gridSpan w:val="5"/>
          </w:tcPr>
          <w:p>
            <w:pPr>
              <w:ind w:left="74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4"/>
                <w:szCs w:val="4"/>
                <w:color w:val="auto"/>
              </w:rPr>
            </w:pPr>
          </w:p>
        </w:tc>
        <w:tc>
          <w:tcPr>
            <w:tcW w:w="132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440" w:type="dxa"/>
            <w:vAlign w:val="bottom"/>
          </w:tcPr>
          <w:p>
            <w:pPr>
              <w:spacing w:after="0"/>
              <w:rPr>
                <w:sz w:val="5"/>
                <w:szCs w:val="5"/>
                <w:color w:val="auto"/>
              </w:rPr>
            </w:pPr>
          </w:p>
        </w:tc>
        <w:tc>
          <w:tcPr>
            <w:tcW w:w="13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Par Value</w:t>
            </w:r>
          </w:p>
        </w:tc>
        <w:tc>
          <w:tcPr>
            <w:tcW w:w="2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 except for share amounts)</w:t>
            </w:r>
          </w:p>
        </w:tc>
        <w:tc>
          <w:tcPr>
            <w:tcW w:w="1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Deficit</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 2018</w:t>
            </w:r>
          </w:p>
        </w:tc>
        <w:tc>
          <w:tcPr>
            <w:tcW w:w="12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52,477,593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611,587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275,422</w:t>
            </w:r>
          </w:p>
        </w:tc>
        <w:tc>
          <w:tcPr>
            <w:tcW w:w="0" w:type="dxa"/>
            <w:vAlign w:val="bottom"/>
          </w:tcPr>
          <w:p>
            <w:pPr>
              <w:spacing w:after="0"/>
              <w:rPr>
                <w:sz w:val="1"/>
                <w:szCs w:val="1"/>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w w:val="94"/>
              </w:rPr>
              <w:t>Issuance of common stock from the exercise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00"/>
              <w:spacing w:after="0"/>
              <w:rPr>
                <w:sz w:val="20"/>
                <w:szCs w:val="20"/>
                <w:color w:val="auto"/>
              </w:rPr>
            </w:pPr>
            <w:r>
              <w:rPr>
                <w:rFonts w:ascii="Arial" w:cs="Arial" w:eastAsia="Arial" w:hAnsi="Arial"/>
                <w:sz w:val="18"/>
                <w:szCs w:val="18"/>
                <w:color w:val="auto"/>
                <w:w w:val="92"/>
              </w:rPr>
              <w:t>of stock options and settlement of restricted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00"/>
              <w:spacing w:after="0"/>
              <w:rPr>
                <w:sz w:val="20"/>
                <w:szCs w:val="20"/>
                <w:color w:val="auto"/>
              </w:rPr>
            </w:pPr>
            <w:r>
              <w:rPr>
                <w:rFonts w:ascii="Arial" w:cs="Arial" w:eastAsia="Arial" w:hAnsi="Arial"/>
                <w:sz w:val="18"/>
                <w:szCs w:val="18"/>
                <w:color w:val="auto"/>
              </w:rPr>
              <w:t>stock units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485,083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Balances at March 31, 2019</w:t>
            </w: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52,962,676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615,047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(336,830)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278,405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Issuance of common stock from the exercise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of stock options and settlement of restricted</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 units</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302,108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11,526</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June 30, 2019</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53,264,784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621,559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296,694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440" w:type="dxa"/>
            <w:vAlign w:val="bottom"/>
          </w:tcPr>
          <w:p>
            <w:pPr>
              <w:spacing w:after="0"/>
              <w:rPr>
                <w:sz w:val="24"/>
                <w:szCs w:val="24"/>
                <w:color w:val="auto"/>
              </w:rPr>
            </w:pPr>
          </w:p>
        </w:tc>
        <w:tc>
          <w:tcPr>
            <w:tcW w:w="2520" w:type="dxa"/>
            <w:vAlign w:val="bottom"/>
            <w:gridSpan w:val="5"/>
          </w:tcPr>
          <w:p>
            <w:pPr>
              <w:ind w:left="74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4"/>
                <w:szCs w:val="4"/>
                <w:color w:val="auto"/>
              </w:rPr>
            </w:pPr>
          </w:p>
        </w:tc>
        <w:tc>
          <w:tcPr>
            <w:tcW w:w="132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440" w:type="dxa"/>
            <w:vAlign w:val="bottom"/>
          </w:tcPr>
          <w:p>
            <w:pPr>
              <w:spacing w:after="0"/>
              <w:rPr>
                <w:sz w:val="5"/>
                <w:szCs w:val="5"/>
                <w:color w:val="auto"/>
              </w:rPr>
            </w:pPr>
          </w:p>
        </w:tc>
        <w:tc>
          <w:tcPr>
            <w:tcW w:w="13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Par Value</w:t>
            </w:r>
          </w:p>
        </w:tc>
        <w:tc>
          <w:tcPr>
            <w:tcW w:w="2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 except for share amounts)</w:t>
            </w:r>
          </w:p>
        </w:tc>
        <w:tc>
          <w:tcPr>
            <w:tcW w:w="1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Deficit</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 2017</w:t>
            </w:r>
          </w:p>
        </w:tc>
        <w:tc>
          <w:tcPr>
            <w:tcW w:w="12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44,938,133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492,802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(361,426)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131,387</w:t>
            </w:r>
          </w:p>
        </w:tc>
        <w:tc>
          <w:tcPr>
            <w:tcW w:w="0" w:type="dxa"/>
            <w:vAlign w:val="bottom"/>
          </w:tcPr>
          <w:p>
            <w:pPr>
              <w:spacing w:after="0"/>
              <w:rPr>
                <w:sz w:val="1"/>
                <w:szCs w:val="1"/>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w w:val="94"/>
              </w:rPr>
              <w:t>Net proceeds from public offering of common</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00"/>
              <w:spacing w:after="0"/>
              <w:rPr>
                <w:sz w:val="20"/>
                <w:szCs w:val="20"/>
                <w:color w:val="auto"/>
              </w:rPr>
            </w:pPr>
            <w:r>
              <w:rPr>
                <w:rFonts w:ascii="Arial" w:cs="Arial" w:eastAsia="Arial" w:hAnsi="Arial"/>
                <w:sz w:val="18"/>
                <w:szCs w:val="18"/>
                <w:color w:val="auto"/>
              </w:rPr>
              <w:t>stock</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6,325,000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100,862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100,868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Issuance of common stock from the exercise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of stock options and settlement of restricted</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 units</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846,568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3,066</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March 31, 2018</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52,109,701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599,480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(358,360)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241,144</w:t>
            </w:r>
          </w:p>
        </w:tc>
        <w:tc>
          <w:tcPr>
            <w:tcW w:w="0" w:type="dxa"/>
            <w:vAlign w:val="bottom"/>
          </w:tcPr>
          <w:p>
            <w:pPr>
              <w:spacing w:after="0"/>
              <w:rPr>
                <w:sz w:val="1"/>
                <w:szCs w:val="1"/>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w w:val="94"/>
              </w:rPr>
              <w:t>Net proceeds from public offering of common</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00"/>
              <w:spacing w:after="0"/>
              <w:rPr>
                <w:sz w:val="20"/>
                <w:szCs w:val="20"/>
                <w:color w:val="auto"/>
              </w:rPr>
            </w:pPr>
            <w:r>
              <w:rPr>
                <w:rFonts w:ascii="Arial" w:cs="Arial" w:eastAsia="Arial" w:hAnsi="Arial"/>
                <w:sz w:val="18"/>
                <w:szCs w:val="18"/>
                <w:color w:val="auto"/>
              </w:rPr>
              <w:t>stock</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Issuance of common stock from the exercise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of stock options and settlement of restricted</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 units</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266,244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2,721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June 30, 2018</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52,375,945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604,889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251,271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VANDA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80" w:type="dxa"/>
            <w:vAlign w:val="bottom"/>
            <w:tcBorders>
              <w:bottom w:val="single" w:sz="8" w:color="auto"/>
            </w:tcBorders>
          </w:tcPr>
          <w:p>
            <w:pPr>
              <w:spacing w:after="0"/>
              <w:rPr>
                <w:sz w:val="16"/>
                <w:szCs w:val="16"/>
                <w:color w:val="auto"/>
              </w:rPr>
            </w:pPr>
          </w:p>
        </w:tc>
      </w:tr>
      <w:tr>
        <w:trPr>
          <w:trHeight w:val="152"/>
        </w:trPr>
        <w:tc>
          <w:tcPr>
            <w:tcW w:w="8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3"/>
                <w:szCs w:val="13"/>
                <w:color w:val="auto"/>
              </w:rPr>
            </w:pPr>
          </w:p>
        </w:tc>
        <w:tc>
          <w:tcPr>
            <w:tcW w:w="1080" w:type="dxa"/>
            <w:vAlign w:val="bottom"/>
          </w:tcPr>
          <w:p>
            <w:pPr>
              <w:jc w:val="right"/>
              <w:ind w:right="471"/>
              <w:spacing w:after="0" w:line="153" w:lineRule="exact"/>
              <w:rPr>
                <w:sz w:val="20"/>
                <w:szCs w:val="20"/>
                <w:color w:val="auto"/>
              </w:rPr>
            </w:pPr>
            <w:r>
              <w:rPr>
                <w:rFonts w:ascii="Arial" w:cs="Arial" w:eastAsia="Arial" w:hAnsi="Arial"/>
                <w:sz w:val="14"/>
                <w:szCs w:val="14"/>
                <w:b w:val="1"/>
                <w:bCs w:val="1"/>
                <w:color w:val="auto"/>
                <w:w w:val="89"/>
              </w:rPr>
              <w:t>June 30,</w:t>
            </w:r>
          </w:p>
        </w:tc>
      </w:t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10,914</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7,677</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Depreciation of property and equipment</w:t>
            </w: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706</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6,383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5,872</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Amortization of discounts on marketable securities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(672)</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Other non-cash adjustments, net</w:t>
            </w: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113</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4,851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(7,294)</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Product revenue allowances</w:t>
            </w: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4,259</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30,158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6,029</w:t>
            </w:r>
          </w:p>
        </w:tc>
      </w:tr>
      <w:tr>
        <w:trPr>
          <w:trHeight w:val="22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41"/>
        </w:trPr>
        <w:tc>
          <w:tcPr>
            <w:tcW w:w="8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intangible asset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(130,536)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Maturities of marketable securities</w:t>
            </w: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143,745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70,795</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(48,205)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(84,951)</w:t>
            </w:r>
          </w:p>
        </w:tc>
      </w:tr>
      <w:tr>
        <w:trPr>
          <w:trHeight w:val="22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41"/>
        </w:trPr>
        <w:tc>
          <w:tcPr>
            <w:tcW w:w="8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offering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100,870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Proceeds from the exercise of stock options</w:t>
            </w: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3,590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5,352</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106,222</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cash equivalents and 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61,749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34,335</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47,287</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61,635</w:t>
            </w:r>
          </w:p>
        </w:tc>
      </w:tr>
      <w:tr>
        <w:trPr>
          <w:trHeight w:val="27"/>
        </w:trPr>
        <w:tc>
          <w:tcPr>
            <w:tcW w:w="8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VANDA PHARMACEUTICALS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Organization and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organization</w:t>
      </w:r>
    </w:p>
    <w:p>
      <w:pPr>
        <w:spacing w:after="0" w:line="117"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Vanda Pharmaceuticals Inc. (the Company) is a global biopharmaceutical company focused on the development and commercialization of innovative therapies to address high unmet medical needs and improve the lives of patients. The Company commenced its operations in 2003 and operates in one reporting segment. The Company’s portfolio includes the following products:</w:t>
      </w:r>
    </w:p>
    <w:p>
      <w:pPr>
        <w:spacing w:after="0" w:line="87" w:lineRule="exact"/>
        <w:rPr>
          <w:sz w:val="20"/>
          <w:szCs w:val="20"/>
          <w:color w:val="auto"/>
        </w:rPr>
      </w:pPr>
    </w:p>
    <w:p>
      <w:pPr>
        <w:ind w:left="660" w:right="20" w:hanging="328"/>
        <w:spacing w:after="0" w:line="20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HETLIOZ</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(tasimelteon), a product for the treatment of non-24-hour sleep-wake disorder (Non-24), was approved by the U.S. Food and Drug Administration (FDA) in January 2014 and launched commercially in the U.S. in April 2014. In July 2015, the European Commission (EC) granted centralized marketing authorization with unified labeling for HETLIOZ</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the treatment of Non-24 in totally blind adults. HETLIOZ</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was commercially launched in Germany in August 2016. HETLIOZ</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has potential utility in a number of other circadian rhythm disorders and is presently in clinical development for the treatment of jet lag disorder, Smith-Magenis Syndrome (SMS) and pediatric Non-24. An assessment of new HETLIOZ</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clinical opportunities including the treatment of delayed sleep phase disorder and for sleep disorders in patients with neurodevelopmental disorders is ongoing.</w:t>
      </w:r>
    </w:p>
    <w:p>
      <w:pPr>
        <w:spacing w:after="0" w:line="100" w:lineRule="exact"/>
        <w:rPr>
          <w:rFonts w:ascii="Arial" w:cs="Arial" w:eastAsia="Arial" w:hAnsi="Arial"/>
          <w:sz w:val="18"/>
          <w:szCs w:val="18"/>
          <w:color w:val="auto"/>
        </w:rPr>
      </w:pPr>
    </w:p>
    <w:p>
      <w:pPr>
        <w:ind w:left="660" w:right="60" w:hanging="328"/>
        <w:spacing w:after="0" w:line="239"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Fanapt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(iloperidone), a product for the treatment of schizophrenia, the oral formulation of which was approved by the FDA in May 2009 and launched commercially in the U.S. by Novartis Pharma AG (Novartis) in January 2010. Novartis transferred all the U.S. and Canadian commercial rights to the Fanapt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franchise to the Company on December 31, 2014. Additionally, the Company's distribution partners launched Fanapt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Israel in 2014. Fanapt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has potential utility in a number of other disorders. Initial clinical work studying a long acting injectable (LAI) formulation of Fanapt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began in 2018. An assessment of new Fanapt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clinical opportunities including the treatment of bipolar depression is ongoing.</w:t>
      </w:r>
    </w:p>
    <w:p>
      <w:pPr>
        <w:spacing w:after="0" w:line="2" w:lineRule="exact"/>
        <w:rPr>
          <w:rFonts w:ascii="Arial" w:cs="Arial" w:eastAsia="Arial" w:hAnsi="Arial"/>
          <w:sz w:val="16"/>
          <w:szCs w:val="16"/>
          <w:color w:val="auto"/>
        </w:rPr>
      </w:pPr>
    </w:p>
    <w:p>
      <w:pPr>
        <w:ind w:left="660" w:right="160" w:hanging="328"/>
        <w:spacing w:after="0" w:line="27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Tradipitant (VLY-686), a small molecule neurokinin-1 receptor (NK-1R) antagonist, which is presently in clinical development for the treatment of chronic pruritus in atopic dermatitis, gastroparesis and motion sickness.</w:t>
      </w:r>
    </w:p>
    <w:p>
      <w:pPr>
        <w:spacing w:after="0" w:line="6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VTR-297, a small molecule histone deacetylase (HDAC) inhibitor presently in clinical development for the treatment of hematologic malignancies.</w:t>
      </w:r>
    </w:p>
    <w:p>
      <w:pPr>
        <w:spacing w:after="0" w:line="140" w:lineRule="exact"/>
        <w:rPr>
          <w:rFonts w:ascii="Arial" w:cs="Arial" w:eastAsia="Arial" w:hAnsi="Arial"/>
          <w:sz w:val="16"/>
          <w:szCs w:val="16"/>
          <w:color w:val="auto"/>
        </w:rPr>
      </w:pPr>
    </w:p>
    <w:p>
      <w:pPr>
        <w:jc w:val="both"/>
        <w:ind w:left="660" w:right="32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Portfolio of Cystic Fibrosis Transmembrane Conductance Regulator (CFTR) activators and inhibitors. An early stage CFTR activator program is planned for the treatment of dry eye and ocular inflammation. In addition, an early stage CFTR inhibitor program is planned for the treatment of secretory diarrhea disorders, including cholera.</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VQW-765, a Phase II alpha-7 nicotinic acetylcholine receptor partial agonist.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(GAAP) for interim financial information and the instructions to Form 10-Q and Article 10 of Regulation S-X. Accordingly, they do not include all the information and footnotes required by GAAP for complete financial statements and should be read in conjunction with the Company’s consolidated financial statements for the fiscal year ended December 31, 2018 included in the Company’s annual report on Form 10-K. The financial information as of June 30, 2019 and for the three and six months ended June 30, 2019 and 2018 is unaudited, but in the opinion of management, all adjustments considered necessary for a fair statement of the results for these interim periods have been included. All intercompany accounts and transactions have been eliminated in consolidation. The condensed consolidated balance sheet data as of December 31, 2018 was derived from audited financial statements but does not include all disclosures required by GAAP.</w:t>
      </w:r>
    </w:p>
    <w:p>
      <w:pPr>
        <w:spacing w:after="0" w:line="19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results of the Company’s operations for any interim period are not necessarily indicative of the results that may be expected for any other interim period or for a full fiscal year. The financial information included herein should be read in conjunction with the consolidated financial statements and notes in the Company’s annual report on Form 10-K for the fiscal year ended December 31,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 xml:space="preserve">With the exception of the adoption of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all related amendments (collectively, Accounting Standards Codification (ASC) 842) on January 1, 2019, discussed below, there have been no material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18" w:right="2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changes to the significant accounting policies previously disclosed in the Company’s Annual Report on Form 10-K for the year ended December 31,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that affect the reported amounts of assets and liabilities at the date of the financial statements, disclosure of contingent assets and liabilities, and the reported amounts of revenue and expenses during the reporting period. Management continually re-evaluates its estimates, judgments and assumptions, and management’s evaluation could change. Actual results could differ from those estimates.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accordance with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effective January 1, 2019, the Company determines if an arrangement contains a lease at inception. Right-of-use (ROU) assets represent the Company's right to use an underlying asset for the lease term and lease liabilities represent the Company's obligation to make lease payments arising from that lease. For leases with a term greater than 12 months, ROU assets and liabilities are recognized at the lease commencement date based on the estimated present value of lease payments over the lease term. The lease term includes the option to extend the lease when it is reasonably certain the Company will exercise that option. When available, the Company uses the rate implicit in the lease to discount lease payments to present value. In the case the implicit rate is not available, the Company uses its incremental borrowing rate based on information available at the lease commencement date, including publicly available data for instruments with similar characteristics, to determine the present value of lease payments. The Company does not combine lease and non-lease elements for office leases. For existing leases as of January 1, 2019, executory costs are excluded from lease expense, which is consistent with the Company's accounting under ASC 840, </w:t>
      </w:r>
      <w:r>
        <w:rPr>
          <w:rFonts w:ascii="Arial" w:cs="Arial" w:eastAsia="Arial" w:hAnsi="Arial"/>
          <w:sz w:val="17"/>
          <w:szCs w:val="17"/>
          <w:i w:val="1"/>
          <w:iCs w:val="1"/>
          <w:color w:val="auto"/>
        </w:rPr>
        <w:t>Leases</w:t>
      </w:r>
      <w:r>
        <w:rPr>
          <w:rFonts w:ascii="Arial" w:cs="Arial" w:eastAsia="Arial" w:hAnsi="Arial"/>
          <w:sz w:val="17"/>
          <w:szCs w:val="17"/>
          <w:color w:val="auto"/>
        </w:rPr>
        <w:t>. For all leases entered into after January 1, 2019, executory costs are allocated between lease and non-lease elements based upon their relative stand-alone prices.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Net Product Sales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Company’s revenues consist of net product sales of HETLIOZ</w:t>
      </w:r>
      <w:r>
        <w:rPr>
          <w:rFonts w:ascii="Arial" w:cs="Arial" w:eastAsia="Arial" w:hAnsi="Arial"/>
          <w:sz w:val="19"/>
          <w:szCs w:val="19"/>
          <w:color w:val="auto"/>
          <w:vertAlign w:val="superscript"/>
        </w:rPr>
        <w:t>®</w:t>
      </w:r>
      <w:r>
        <w:rPr>
          <w:rFonts w:ascii="Arial" w:cs="Arial" w:eastAsia="Arial" w:hAnsi="Arial"/>
          <w:sz w:val="16"/>
          <w:szCs w:val="16"/>
          <w:color w:val="auto"/>
        </w:rPr>
        <w:t xml:space="preserve"> and net product sales of Fanapt</w:t>
      </w:r>
      <w:r>
        <w:rPr>
          <w:rFonts w:ascii="Arial" w:cs="Arial" w:eastAsia="Arial" w:hAnsi="Arial"/>
          <w:sz w:val="19"/>
          <w:szCs w:val="19"/>
          <w:color w:val="auto"/>
          <w:vertAlign w:val="superscript"/>
        </w:rPr>
        <w:t>®</w:t>
      </w:r>
      <w:r>
        <w:rPr>
          <w:rFonts w:ascii="Arial" w:cs="Arial" w:eastAsia="Arial" w:hAnsi="Arial"/>
          <w:sz w:val="16"/>
          <w:szCs w:val="16"/>
          <w:color w:val="auto"/>
        </w:rPr>
        <w:t>. Net sales by product for the three and six months ended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30, 2019 and 2018 were as follows: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977"/>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4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7"/>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HETLIOZ</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 sales,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37,835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28,045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66,792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53,468</w:t>
            </w:r>
          </w:p>
        </w:tc>
      </w:tr>
      <w:tr>
        <w:trPr>
          <w:trHeight w:val="27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Fanapt</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 sales, net</w:t>
            </w:r>
          </w:p>
        </w:tc>
        <w:tc>
          <w:tcPr>
            <w:tcW w:w="3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21,225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19,305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39,981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37,474</w:t>
            </w: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product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59,060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47,350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106,773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90,942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Customers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HETLIOZ</w:t>
      </w:r>
      <w:r>
        <w:rPr>
          <w:rFonts w:ascii="Arial" w:cs="Arial" w:eastAsia="Arial" w:hAnsi="Arial"/>
          <w:sz w:val="20"/>
          <w:szCs w:val="20"/>
          <w:color w:val="auto"/>
          <w:vertAlign w:val="superscript"/>
        </w:rPr>
        <w:t>®</w:t>
      </w:r>
      <w:r>
        <w:rPr>
          <w:rFonts w:ascii="Arial" w:cs="Arial" w:eastAsia="Arial" w:hAnsi="Arial"/>
          <w:sz w:val="17"/>
          <w:szCs w:val="17"/>
          <w:color w:val="auto"/>
        </w:rPr>
        <w:t xml:space="preserve"> is available in the U.S. for distribution through a limited number of specialty pharmacies, and is not available in retail pharmacies. Fanapt</w:t>
      </w:r>
      <w:r>
        <w:rPr>
          <w:rFonts w:ascii="Arial" w:cs="Arial" w:eastAsia="Arial" w:hAnsi="Arial"/>
          <w:sz w:val="20"/>
          <w:szCs w:val="20"/>
          <w:color w:val="auto"/>
          <w:vertAlign w:val="superscript"/>
        </w:rPr>
        <w:t>®</w:t>
      </w:r>
      <w:r>
        <w:rPr>
          <w:rFonts w:ascii="Arial" w:cs="Arial" w:eastAsia="Arial" w:hAnsi="Arial"/>
          <w:sz w:val="17"/>
          <w:szCs w:val="17"/>
          <w:color w:val="auto"/>
        </w:rPr>
        <w:t xml:space="preserve"> is available in the U.S. for distribution through a limited number of wholesalers and is available in retail pharmacies. The Company invoices and records revenue when its customers, specialty pharmacies and wholesalers, receive product from the third-party logistics warehouse which is the point at which control is transferred to the customer. There were five major customers that each accounted for more than 10% of total revenues and, as a group, represented 96% of total revenues for the six months ended June 30, 2019. There were five major customers that each accounted for more than 10% of accounts receivable and, as a group, represented 93% of total accounts receivable at June 30, 2019. The Company evaluates outstanding receivables to assess collectability. In performing this evaluation, the Company analyzes economic conditions, the aging of receivables and customer specific risks. Using this information, the Company reserves an amount that it estimates may not be collected.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Flows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purposes of the Condensed Consolidated Balance Sheets and Condensed Consolidated Statements of Cash Flows, cash equivalents represent highly-liquid investments with a maturity date of three months or less at the date of purchase. Cash and cash equivalents includes investments in money market funds with commercial banks and financial institutions, and commercial paper of high-quality corporate issuers. Restricted cash relates primarily to amounts held as collateral for letters of credit for leases for office space at the Company’s Washington, D.C. headquarters. The following table provides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reconciliation of cash, cash equivalents and restricted cash and cash equivalents reported within the Condensed Consolidated Balance Sheets to the total end of period cash, cash equivalents and restricted cash reported within the Condensed Consolidated Statement of Cash Flows: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280" w:type="dxa"/>
            <w:vAlign w:val="bottom"/>
          </w:tcPr>
          <w:p>
            <w:pPr>
              <w:jc w:val="right"/>
              <w:ind w:right="476"/>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120" w:type="dxa"/>
            <w:vAlign w:val="bottom"/>
            <w:tcBorders>
              <w:bottom w:val="single" w:sz="8" w:color="BFE4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BFE4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46,543</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60,891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Restricted cash included in:</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100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Non-current inventory and other</w:t>
            </w:r>
          </w:p>
        </w:tc>
        <w:tc>
          <w:tcPr>
            <w:tcW w:w="3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644</w:t>
            </w:r>
          </w:p>
        </w:tc>
      </w:tr>
      <w:tr>
        <w:trPr>
          <w:trHeight w:val="27"/>
        </w:trPr>
        <w:tc>
          <w:tcPr>
            <w:tcW w:w="812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32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47,287</w:t>
            </w:r>
          </w:p>
        </w:tc>
        <w:tc>
          <w:tcPr>
            <w:tcW w:w="10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61,635</w:t>
            </w:r>
          </w:p>
        </w:tc>
      </w:tr>
      <w:tr>
        <w:trPr>
          <w:trHeight w:val="20"/>
        </w:trPr>
        <w:tc>
          <w:tcPr>
            <w:tcW w:w="812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In August 2018, the U.S. Securities and Exchange Commission (SEC) adopted the final rule under SEC Release No. 33-10532, </w:t>
      </w:r>
      <w:r>
        <w:rPr>
          <w:rFonts w:ascii="Arial" w:cs="Arial" w:eastAsia="Arial" w:hAnsi="Arial"/>
          <w:sz w:val="16"/>
          <w:szCs w:val="16"/>
          <w:i w:val="1"/>
          <w:iCs w:val="1"/>
          <w:color w:val="auto"/>
        </w:rPr>
        <w:t>Disclosure Update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Simplification. </w:t>
      </w:r>
      <w:r>
        <w:rPr>
          <w:rFonts w:ascii="Arial" w:cs="Arial" w:eastAsia="Arial" w:hAnsi="Arial"/>
          <w:sz w:val="16"/>
          <w:szCs w:val="16"/>
          <w:color w:val="auto"/>
        </w:rPr>
        <w:t>This final rule amends certain disclosure requirements that are redundant, duplicative, overlapping, outdated or superseded. In addition,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expand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This final rule is effective for the Company for all filings made on or after November 5, 2018. The SEC staff clarified that the first presentation of the changes in shareholders' equity may be included in the first Form 10-Q for the quarter that begins after the effective date of the amendments. The adoption of the final rule did not have a material impact on the Company’s condensed consolidated financial statements. The Company updated the disclosure of its Condensed Consolidated Statements of Changes in Stockholders' Equity in 2019 to include a reconciliation for the quarter-to-date and year-to-date comparative periods.</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June 2016, the Financial Accounting Standards Board (FASB) issued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which changes the impairment model for most financial assets and certain other financial instruments. The standard will require the use of a forward-looking “expected loss” model for instruments measured at amortized cost that generally will result in the earlier recognition of allowances for losses. The standard is effective for years beginning after December 15, 2019, and interim periods within annual periods beginning after December 15, 2019. The Company is evaluating this standard to determine if adoption will have a material impact on the Company’s accounts receivable and marketable securities balances and related financial statement disclosures.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February 2016, the FASB issued ASU 2016-2,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was further clarified by ASU 2018-10, </w:t>
      </w:r>
      <w:r>
        <w:rPr>
          <w:rFonts w:ascii="Arial" w:cs="Arial" w:eastAsia="Arial" w:hAnsi="Arial"/>
          <w:sz w:val="17"/>
          <w:szCs w:val="17"/>
          <w:i w:val="1"/>
          <w:iCs w:val="1"/>
          <w:color w:val="auto"/>
        </w:rPr>
        <w:t>Codification Improvements to Topic 842,</w:t>
      </w:r>
      <w:r>
        <w:rPr>
          <w:rFonts w:ascii="Arial" w:cs="Arial" w:eastAsia="Arial" w:hAnsi="Arial"/>
          <w:sz w:val="17"/>
          <w:szCs w:val="17"/>
          <w:color w:val="auto"/>
        </w:rPr>
        <w:t xml:space="preserve"> </w:t>
      </w:r>
      <w:r>
        <w:rPr>
          <w:rFonts w:ascii="Arial" w:cs="Arial" w:eastAsia="Arial" w:hAnsi="Arial"/>
          <w:sz w:val="17"/>
          <w:szCs w:val="17"/>
          <w:i w:val="1"/>
          <w:iCs w:val="1"/>
          <w:color w:val="auto"/>
        </w:rPr>
        <w:t>Leases</w:t>
      </w:r>
      <w:r>
        <w:rPr>
          <w:rFonts w:ascii="Arial" w:cs="Arial" w:eastAsia="Arial" w:hAnsi="Arial"/>
          <w:sz w:val="17"/>
          <w:szCs w:val="17"/>
          <w:color w:val="auto"/>
        </w:rPr>
        <w:t>, and ASU 2018-11,</w:t>
      </w:r>
      <w:r>
        <w:rPr>
          <w:rFonts w:ascii="Arial" w:cs="Arial" w:eastAsia="Arial" w:hAnsi="Arial"/>
          <w:sz w:val="17"/>
          <w:szCs w:val="17"/>
          <w:i w:val="1"/>
          <w:iCs w:val="1"/>
          <w:color w:val="auto"/>
        </w:rPr>
        <w:t xml:space="preserve"> Leases - Targeted Improvements</w:t>
      </w:r>
      <w:r>
        <w:rPr>
          <w:rFonts w:ascii="Arial" w:cs="Arial" w:eastAsia="Arial" w:hAnsi="Arial"/>
          <w:sz w:val="17"/>
          <w:szCs w:val="17"/>
          <w:color w:val="auto"/>
        </w:rPr>
        <w:t>, issued in July 2018. ASC 842 supersedes existing lease guidance, including ASC 840</w:t>
      </w:r>
      <w:r>
        <w:rPr>
          <w:rFonts w:ascii="Arial" w:cs="Arial" w:eastAsia="Arial" w:hAnsi="Arial"/>
          <w:sz w:val="17"/>
          <w:szCs w:val="17"/>
          <w:i w:val="1"/>
          <w:iCs w:val="1"/>
          <w:color w:val="auto"/>
        </w:rPr>
        <w:t xml:space="preserve"> Leases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new leasing standard is effective for fiscal years beginning after December 15, 2018, including interim periods within those fiscal years. The new leasing standard requires that lessees will need to recognize a ROU asset and a lease liability for virtually all of their leases, and allows companies to make a policy election as to whether short term leases will be recognized under the requirements of the new standard. The Company elected to exclude short-term leases in the application of the new standard. The lease liability is equal to the present value of lease payments. The ROU asset is based on the liability subject to certain adjustments. For income statement purposes, the FASB retained a dual model, requiring leases to be classified as either operating or finance. Operating leases will result in straight-line expense, similar to accounting for operating leases under ASC 840, while finance leases will result in a front-loaded expense pattern, similar to accounting for capital leases under ASC 840.</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adopted the new leasing standard in the first quarter 2019, using a modified retrospective transition. There was no impact to the opening balance of retained earnings as of the effective date of January 1, 2019 as a result of adoption. Prior period financial statements were not recast. The Company elected the package of transition provisions available for expired or existing contracts, which allowed it to carryforward its historical assessments of (1) whether contracts are or contain leases, (2) lease classification and (3) initial direct costs. The adoption of the new leasing standard on January 1, 2019 resulted in the recognition of $15.8 million of operating lease liabilities, $2.2 million of which were classified as current liabilities, with corresponding ROU assets of $12.2 million, net of lease prepayments and the balance of deferred lease incentives. The Company does not have any financing leases.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available-for-sale marketable securities as of June 30, 2019:</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June 30, 2019</w:t>
            </w:r>
          </w:p>
        </w:tc>
        <w:tc>
          <w:tcPr>
            <w:tcW w:w="300" w:type="dxa"/>
            <w:vAlign w:val="bottom"/>
          </w:tcPr>
          <w:p>
            <w:pPr>
              <w:spacing w:after="0"/>
              <w:rPr>
                <w:sz w:val="14"/>
                <w:szCs w:val="14"/>
                <w:color w:val="auto"/>
              </w:rPr>
            </w:pP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30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1220" w:type="dxa"/>
            <w:vAlign w:val="bottom"/>
          </w:tcPr>
          <w:p>
            <w:pPr>
              <w:jc w:val="center"/>
              <w:ind w:left="297"/>
              <w:spacing w:after="0"/>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center"/>
              <w:ind w:right="23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26"/>
        </w:trPr>
        <w:tc>
          <w:tcPr>
            <w:tcW w:w="4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gridSpan w:val="2"/>
          </w:tcPr>
          <w:p>
            <w:pPr>
              <w:jc w:val="center"/>
              <w:ind w:right="400"/>
              <w:spacing w:after="0" w:line="126" w:lineRule="exact"/>
              <w:rPr>
                <w:sz w:val="20"/>
                <w:szCs w:val="20"/>
                <w:color w:val="auto"/>
              </w:rPr>
            </w:pPr>
            <w:r>
              <w:rPr>
                <w:rFonts w:ascii="Arial" w:cs="Arial" w:eastAsia="Arial" w:hAnsi="Arial"/>
                <w:sz w:val="14"/>
                <w:szCs w:val="14"/>
                <w:b w:val="1"/>
                <w:bCs w:val="1"/>
                <w:color w:val="auto"/>
                <w:w w:val="95"/>
              </w:rPr>
              <w:t>Unrealized</w:t>
            </w:r>
          </w:p>
        </w:tc>
        <w:tc>
          <w:tcPr>
            <w:tcW w:w="1220" w:type="dxa"/>
            <w:vAlign w:val="bottom"/>
          </w:tcPr>
          <w:p>
            <w:pPr>
              <w:jc w:val="center"/>
              <w:ind w:left="297"/>
              <w:spacing w:after="0" w:line="126"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60" w:type="dxa"/>
            <w:vAlign w:val="bottom"/>
          </w:tcPr>
          <w:p>
            <w:pPr>
              <w:jc w:val="center"/>
              <w:ind w:right="235"/>
              <w:spacing w:after="0" w:line="126"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92"/>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Gains</w:t>
            </w:r>
          </w:p>
        </w:tc>
        <w:tc>
          <w:tcPr>
            <w:tcW w:w="1220" w:type="dxa"/>
            <w:vAlign w:val="bottom"/>
          </w:tcPr>
          <w:p>
            <w:pPr>
              <w:jc w:val="center"/>
              <w:ind w:left="297"/>
              <w:spacing w:after="0"/>
              <w:rPr>
                <w:sz w:val="20"/>
                <w:szCs w:val="20"/>
                <w:color w:val="auto"/>
              </w:rPr>
            </w:pPr>
            <w:r>
              <w:rPr>
                <w:rFonts w:ascii="Arial" w:cs="Arial" w:eastAsia="Arial" w:hAnsi="Arial"/>
                <w:sz w:val="14"/>
                <w:szCs w:val="14"/>
                <w:b w:val="1"/>
                <w:bCs w:val="1"/>
                <w:color w:val="auto"/>
                <w:w w:val="82"/>
              </w:rPr>
              <w:t>Losses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center"/>
              <w:ind w:right="23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U.S. Treasury and government agencies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100,795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220" w:type="dxa"/>
            <w:vAlign w:val="bottom"/>
          </w:tcPr>
          <w:p>
            <w:pPr>
              <w:jc w:val="right"/>
              <w:ind w:right="1017"/>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100,904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115,824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116,046</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16,636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16,668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 current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233,255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7"/>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233,618</w:t>
            </w:r>
          </w:p>
        </w:tc>
        <w:tc>
          <w:tcPr>
            <w:tcW w:w="0" w:type="dxa"/>
            <w:vAlign w:val="bottom"/>
          </w:tcPr>
          <w:p>
            <w:pPr>
              <w:spacing w:after="0"/>
              <w:rPr>
                <w:sz w:val="1"/>
                <w:szCs w:val="1"/>
                <w:color w:val="auto"/>
              </w:rPr>
            </w:pP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Non-current:</w:t>
            </w: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Treasury and government agencies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7"/>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4,983</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Corporate debt</w:t>
            </w:r>
          </w:p>
        </w:tc>
        <w:tc>
          <w:tcPr>
            <w:tcW w:w="3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7,525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7,534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 non-current</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7"/>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12,517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245,758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017"/>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246,135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Current marketable securities have a remaining maturity of less than one year. Non-current marketable securities have a remaining maturity of between one and two years.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is a summary of the Company’s available-for-sale marketable securities as of December 31, 2018, which all have contract maturities of less than one year:</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December 31, 2018</w:t>
            </w:r>
          </w:p>
        </w:tc>
        <w:tc>
          <w:tcPr>
            <w:tcW w:w="300" w:type="dxa"/>
            <w:vAlign w:val="bottom"/>
          </w:tcPr>
          <w:p>
            <w:pPr>
              <w:spacing w:after="0"/>
              <w:rPr>
                <w:sz w:val="14"/>
                <w:szCs w:val="14"/>
                <w:color w:val="auto"/>
              </w:rPr>
            </w:pP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30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1200" w:type="dxa"/>
            <w:vAlign w:val="bottom"/>
          </w:tcPr>
          <w:p>
            <w:pPr>
              <w:jc w:val="center"/>
              <w:ind w:left="321"/>
              <w:spacing w:after="0"/>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center"/>
              <w:ind w:right="23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26"/>
        </w:trPr>
        <w:tc>
          <w:tcPr>
            <w:tcW w:w="4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gridSpan w:val="2"/>
          </w:tcPr>
          <w:p>
            <w:pPr>
              <w:jc w:val="center"/>
              <w:ind w:right="400"/>
              <w:spacing w:after="0" w:line="126" w:lineRule="exact"/>
              <w:rPr>
                <w:sz w:val="20"/>
                <w:szCs w:val="20"/>
                <w:color w:val="auto"/>
              </w:rPr>
            </w:pPr>
            <w:r>
              <w:rPr>
                <w:rFonts w:ascii="Arial" w:cs="Arial" w:eastAsia="Arial" w:hAnsi="Arial"/>
                <w:sz w:val="14"/>
                <w:szCs w:val="14"/>
                <w:b w:val="1"/>
                <w:bCs w:val="1"/>
                <w:color w:val="auto"/>
                <w:w w:val="95"/>
              </w:rPr>
              <w:t>Unrealized</w:t>
            </w:r>
          </w:p>
        </w:tc>
        <w:tc>
          <w:tcPr>
            <w:tcW w:w="1200" w:type="dxa"/>
            <w:vAlign w:val="bottom"/>
          </w:tcPr>
          <w:p>
            <w:pPr>
              <w:jc w:val="center"/>
              <w:ind w:left="321"/>
              <w:spacing w:after="0" w:line="126" w:lineRule="exact"/>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60" w:type="dxa"/>
            <w:vAlign w:val="bottom"/>
          </w:tcPr>
          <w:p>
            <w:pPr>
              <w:jc w:val="center"/>
              <w:ind w:right="238"/>
              <w:spacing w:after="0" w:line="126"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92"/>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Gains</w:t>
            </w:r>
          </w:p>
        </w:tc>
        <w:tc>
          <w:tcPr>
            <w:tcW w:w="1200" w:type="dxa"/>
            <w:vAlign w:val="bottom"/>
          </w:tcPr>
          <w:p>
            <w:pPr>
              <w:jc w:val="center"/>
              <w:ind w:left="321"/>
              <w:spacing w:after="0"/>
              <w:rPr>
                <w:sz w:val="20"/>
                <w:szCs w:val="20"/>
                <w:color w:val="auto"/>
              </w:rPr>
            </w:pPr>
            <w:r>
              <w:rPr>
                <w:rFonts w:ascii="Arial" w:cs="Arial" w:eastAsia="Arial" w:hAnsi="Arial"/>
                <w:sz w:val="14"/>
                <w:szCs w:val="14"/>
                <w:b w:val="1"/>
                <w:bCs w:val="1"/>
                <w:color w:val="auto"/>
                <w:w w:val="82"/>
              </w:rPr>
              <w:t>Losses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center"/>
              <w:ind w:right="23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U.S. Treasury and government agencies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69,275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00" w:type="dxa"/>
            <w:vAlign w:val="bottom"/>
          </w:tcPr>
          <w:p>
            <w:pPr>
              <w:jc w:val="right"/>
              <w:ind w:right="1001"/>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69,270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105,897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105,910</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21,189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21,175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 current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196,361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0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196,355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Authoritative guidance establishes a three-tier fair value hierarchy, which prioritizes the inputs used in measuring fair value. These tiers include:</w:t>
      </w:r>
    </w:p>
    <w:p>
      <w:pPr>
        <w:spacing w:after="0" w:line="13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defined as observable inputs such as quoted prices in active markets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defined as inputs other than quoted prices in active markets that are either directly or indirectly observable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3 — defined as unobservable inputs in which little or no market data exists, therefore requiring an entity to develop its own assumptions</w:t>
      </w:r>
    </w:p>
    <w:p>
      <w:pPr>
        <w:spacing w:after="0" w:line="3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Marketable securities classified in Level 1 and Level 2 as of June 30, 2019 and December 31, 2018 consist of available-for-sale marketable securities. The valuation of Level 1 instruments is determined using a market approach, and is based upon unadjusted quoted prices for identical assets in active markets. The valuation of investments classified in Level 2 is also determined using a market approach based upon quoted prices for similar assets in active markets, or other inputs that are observable for substantially the full term of the financial instrument. Level 2 securities include certificates of deposit, commercial paper, corporate notes and asset-backed securities that use as their basis readily observable market parameters. The Company did not transfer any assets between Level 2 and Level 1 during the six months ended June 30, 2019 and 2018.</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the Company held certain assets that are required to be measured at fair value on a recurring basis,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120" w:type="dxa"/>
            <w:vAlign w:val="bottom"/>
            <w:tcBorders>
              <w:bottom w:val="single" w:sz="8" w:color="auto"/>
            </w:tcBorders>
            <w:gridSpan w:val="7"/>
          </w:tcPr>
          <w:p>
            <w:pPr>
              <w:jc w:val="center"/>
              <w:ind w:right="99"/>
              <w:spacing w:after="0"/>
              <w:rPr>
                <w:sz w:val="20"/>
                <w:szCs w:val="20"/>
                <w:color w:val="auto"/>
              </w:rPr>
            </w:pPr>
            <w:r>
              <w:rPr>
                <w:rFonts w:ascii="Arial" w:cs="Arial" w:eastAsia="Arial" w:hAnsi="Arial"/>
                <w:sz w:val="14"/>
                <w:szCs w:val="14"/>
                <w:b w:val="1"/>
                <w:bCs w:val="1"/>
                <w:color w:val="auto"/>
                <w:w w:val="92"/>
              </w:rPr>
              <w:t>Fair Value Measurement as of June 30, 2019 Using</w:t>
            </w: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3"/>
                <w:szCs w:val="13"/>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280" w:type="dxa"/>
            <w:vAlign w:val="bottom"/>
          </w:tcPr>
          <w:p>
            <w:pPr>
              <w:spacing w:after="0"/>
              <w:rPr>
                <w:sz w:val="13"/>
                <w:szCs w:val="13"/>
                <w:color w:val="auto"/>
              </w:rPr>
            </w:pPr>
          </w:p>
        </w:tc>
        <w:tc>
          <w:tcPr>
            <w:tcW w:w="1420" w:type="dxa"/>
            <w:vAlign w:val="bottom"/>
          </w:tcPr>
          <w:p>
            <w:pPr>
              <w:jc w:val="center"/>
              <w:ind w:right="199"/>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Identical Assets</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Observable Inputs</w:t>
            </w:r>
          </w:p>
        </w:tc>
        <w:tc>
          <w:tcPr>
            <w:tcW w:w="280" w:type="dxa"/>
            <w:vAlign w:val="bottom"/>
          </w:tcPr>
          <w:p>
            <w:pPr>
              <w:spacing w:after="0"/>
              <w:rPr>
                <w:sz w:val="16"/>
                <w:szCs w:val="16"/>
                <w:color w:val="auto"/>
              </w:rPr>
            </w:pPr>
          </w:p>
        </w:tc>
        <w:tc>
          <w:tcPr>
            <w:tcW w:w="1420" w:type="dxa"/>
            <w:vAlign w:val="bottom"/>
          </w:tcPr>
          <w:p>
            <w:pPr>
              <w:jc w:val="center"/>
              <w:ind w:right="219"/>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84"/>
        </w:trPr>
        <w:tc>
          <w:tcPr>
            <w:tcW w:w="4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50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vMerge w:val="restart"/>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vMerge w:val="restart"/>
          </w:tcPr>
          <w:p>
            <w:pPr>
              <w:spacing w:after="0"/>
              <w:rPr>
                <w:sz w:val="7"/>
                <w:szCs w:val="7"/>
                <w:color w:val="auto"/>
              </w:rPr>
            </w:pPr>
          </w:p>
        </w:tc>
        <w:tc>
          <w:tcPr>
            <w:tcW w:w="280" w:type="dxa"/>
            <w:vAlign w:val="bottom"/>
          </w:tcPr>
          <w:p>
            <w:pPr>
              <w:spacing w:after="0"/>
              <w:rPr>
                <w:sz w:val="7"/>
                <w:szCs w:val="7"/>
                <w:color w:val="auto"/>
              </w:rPr>
            </w:pPr>
          </w:p>
        </w:tc>
        <w:tc>
          <w:tcPr>
            <w:tcW w:w="142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and 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105,887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105,887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Corporate debt</w:t>
            </w:r>
          </w:p>
        </w:tc>
        <w:tc>
          <w:tcPr>
            <w:tcW w:w="320" w:type="dxa"/>
            <w:vAlign w:val="bottom"/>
          </w:tcPr>
          <w:p>
            <w:pPr>
              <w:spacing w:after="0"/>
              <w:rPr>
                <w:sz w:val="21"/>
                <w:szCs w:val="21"/>
                <w:color w:val="auto"/>
              </w:rPr>
            </w:pP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123,580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20" w:type="dxa"/>
            <w:vAlign w:val="bottom"/>
          </w:tcPr>
          <w:p>
            <w:pPr>
              <w:jc w:val="right"/>
              <w:ind w:right="38"/>
              <w:spacing w:after="0"/>
              <w:rPr>
                <w:sz w:val="20"/>
                <w:szCs w:val="20"/>
                <w:color w:val="auto"/>
              </w:rPr>
            </w:pPr>
            <w:r>
              <w:rPr>
                <w:rFonts w:ascii="Arial" w:cs="Arial" w:eastAsia="Arial" w:hAnsi="Arial"/>
                <w:sz w:val="18"/>
                <w:szCs w:val="18"/>
                <w:color w:val="auto"/>
              </w:rPr>
              <w:t>123,580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16,668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16,668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Total assets measured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246,135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105,887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140,248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 Company held certain assets that are required to be measured at fair value on a recurring basis,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120" w:type="dxa"/>
            <w:vAlign w:val="bottom"/>
            <w:tcBorders>
              <w:bottom w:val="single" w:sz="8" w:color="auto"/>
            </w:tcBorders>
            <w:gridSpan w:val="7"/>
          </w:tcPr>
          <w:p>
            <w:pPr>
              <w:jc w:val="center"/>
              <w:ind w:right="99"/>
              <w:spacing w:after="0"/>
              <w:rPr>
                <w:sz w:val="20"/>
                <w:szCs w:val="20"/>
                <w:color w:val="auto"/>
              </w:rPr>
            </w:pPr>
            <w:r>
              <w:rPr>
                <w:rFonts w:ascii="Arial" w:cs="Arial" w:eastAsia="Arial" w:hAnsi="Arial"/>
                <w:sz w:val="14"/>
                <w:szCs w:val="14"/>
                <w:b w:val="1"/>
                <w:bCs w:val="1"/>
                <w:color w:val="auto"/>
                <w:w w:val="92"/>
              </w:rPr>
              <w:t>Fair Value Measurement as of December 31, 2018 Using</w:t>
            </w: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3"/>
                <w:szCs w:val="13"/>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280" w:type="dxa"/>
            <w:vAlign w:val="bottom"/>
          </w:tcPr>
          <w:p>
            <w:pPr>
              <w:spacing w:after="0"/>
              <w:rPr>
                <w:sz w:val="13"/>
                <w:szCs w:val="13"/>
                <w:color w:val="auto"/>
              </w:rPr>
            </w:pPr>
          </w:p>
        </w:tc>
        <w:tc>
          <w:tcPr>
            <w:tcW w:w="1420" w:type="dxa"/>
            <w:vAlign w:val="bottom"/>
          </w:tcPr>
          <w:p>
            <w:pPr>
              <w:jc w:val="center"/>
              <w:ind w:right="199"/>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Identical Assets</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Observable Inputs</w:t>
            </w:r>
          </w:p>
        </w:tc>
        <w:tc>
          <w:tcPr>
            <w:tcW w:w="280" w:type="dxa"/>
            <w:vAlign w:val="bottom"/>
          </w:tcPr>
          <w:p>
            <w:pPr>
              <w:spacing w:after="0"/>
              <w:rPr>
                <w:sz w:val="16"/>
                <w:szCs w:val="16"/>
                <w:color w:val="auto"/>
              </w:rPr>
            </w:pPr>
          </w:p>
        </w:tc>
        <w:tc>
          <w:tcPr>
            <w:tcW w:w="1420" w:type="dxa"/>
            <w:vAlign w:val="bottom"/>
          </w:tcPr>
          <w:p>
            <w:pPr>
              <w:jc w:val="center"/>
              <w:ind w:right="219"/>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84"/>
        </w:trPr>
        <w:tc>
          <w:tcPr>
            <w:tcW w:w="4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50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vMerge w:val="restart"/>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vMerge w:val="restart"/>
          </w:tcPr>
          <w:p>
            <w:pPr>
              <w:spacing w:after="0"/>
              <w:rPr>
                <w:sz w:val="7"/>
                <w:szCs w:val="7"/>
                <w:color w:val="auto"/>
              </w:rPr>
            </w:pPr>
          </w:p>
        </w:tc>
        <w:tc>
          <w:tcPr>
            <w:tcW w:w="280" w:type="dxa"/>
            <w:vAlign w:val="bottom"/>
          </w:tcPr>
          <w:p>
            <w:pPr>
              <w:spacing w:after="0"/>
              <w:rPr>
                <w:sz w:val="7"/>
                <w:szCs w:val="7"/>
                <w:color w:val="auto"/>
              </w:rPr>
            </w:pPr>
          </w:p>
        </w:tc>
        <w:tc>
          <w:tcPr>
            <w:tcW w:w="142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and government agencies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69,270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69,270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Corporate debt</w:t>
            </w:r>
          </w:p>
        </w:tc>
        <w:tc>
          <w:tcPr>
            <w:tcW w:w="240" w:type="dxa"/>
            <w:vAlign w:val="bottom"/>
          </w:tcPr>
          <w:p>
            <w:pPr>
              <w:spacing w:after="0"/>
              <w:rPr>
                <w:sz w:val="21"/>
                <w:szCs w:val="21"/>
                <w:color w:val="auto"/>
              </w:rPr>
            </w:pPr>
          </w:p>
        </w:tc>
        <w:tc>
          <w:tcPr>
            <w:tcW w:w="1400" w:type="dxa"/>
            <w:vAlign w:val="bottom"/>
          </w:tcPr>
          <w:p>
            <w:pPr>
              <w:jc w:val="right"/>
              <w:ind w:right="56"/>
              <w:spacing w:after="0"/>
              <w:rPr>
                <w:sz w:val="20"/>
                <w:szCs w:val="20"/>
                <w:color w:val="auto"/>
              </w:rPr>
            </w:pPr>
            <w:r>
              <w:rPr>
                <w:rFonts w:ascii="Arial" w:cs="Arial" w:eastAsia="Arial" w:hAnsi="Arial"/>
                <w:sz w:val="18"/>
                <w:szCs w:val="18"/>
                <w:color w:val="auto"/>
              </w:rPr>
              <w:t>105,910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20" w:type="dxa"/>
            <w:vAlign w:val="bottom"/>
          </w:tcPr>
          <w:p>
            <w:pPr>
              <w:jc w:val="right"/>
              <w:ind w:right="38"/>
              <w:spacing w:after="0"/>
              <w:rPr>
                <w:sz w:val="20"/>
                <w:szCs w:val="20"/>
                <w:color w:val="auto"/>
              </w:rPr>
            </w:pPr>
            <w:r>
              <w:rPr>
                <w:rFonts w:ascii="Arial" w:cs="Arial" w:eastAsia="Arial" w:hAnsi="Arial"/>
                <w:sz w:val="18"/>
                <w:szCs w:val="18"/>
                <w:color w:val="auto"/>
              </w:rPr>
              <w:t>105,910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21,175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21,175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Total assets measured at fair value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196,355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69,270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127,085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also has financial assets and liabilities, not required to be measured at fair value on a recurring basis, which primarily consist of cash, accounts receivable, restricted cash, accounts payable and accrued liabilities, product revenue allowances, and milestone obligations under license agreements, the carrying values of which materially approximate their fair values.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evaluates expiry risk by evaluating current and future product demand relative to product shelf life. The Company builds demand forecasts by considering factors such as, but not limited to, overall market potential, market share, market acceptance and patient usage. Inventory levels are evaluated for the amount of inventory that would be sold within one year. At certain times, the level of inventory can exceed the forecasted level of cost of goods sold for the next twelve months. The Company classifies the estimate of such inventory as non-current.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consisted of the following as of June 30, 2019 and December 31,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31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38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534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3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42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Work-in-process</w:t>
            </w:r>
          </w:p>
        </w:tc>
        <w:tc>
          <w:tcPr>
            <w:tcW w:w="5340" w:type="dxa"/>
            <w:vAlign w:val="bottom"/>
            <w:gridSpan w:val="2"/>
          </w:tcPr>
          <w:p>
            <w:pPr>
              <w:jc w:val="right"/>
              <w:ind w:right="874"/>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Finished goods</w:t>
            </w:r>
          </w:p>
        </w:tc>
        <w:tc>
          <w:tcPr>
            <w:tcW w:w="4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1,057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8"/>
                <w:szCs w:val="18"/>
                <w:color w:val="auto"/>
              </w:rPr>
              <w:t>Total inventory, current</w:t>
            </w:r>
          </w:p>
        </w:tc>
        <w:tc>
          <w:tcPr>
            <w:tcW w:w="4280" w:type="dxa"/>
            <w:vAlign w:val="bottom"/>
          </w:tcPr>
          <w:p>
            <w:pPr>
              <w:spacing w:after="0"/>
              <w:rPr>
                <w:sz w:val="20"/>
                <w:szCs w:val="20"/>
                <w:color w:val="auto"/>
              </w:rPr>
            </w:pPr>
          </w:p>
        </w:tc>
        <w:tc>
          <w:tcPr>
            <w:tcW w:w="106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1,057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67"/>
        </w:trPr>
        <w:tc>
          <w:tcPr>
            <w:tcW w:w="3840" w:type="dxa"/>
            <w:vAlign w:val="bottom"/>
            <w:tcBorders>
              <w:bottom w:val="single" w:sz="8" w:color="CCEEFF"/>
            </w:tcBorders>
          </w:tcPr>
          <w:p>
            <w:pPr>
              <w:spacing w:after="0"/>
              <w:rPr>
                <w:sz w:val="5"/>
                <w:szCs w:val="5"/>
                <w:color w:val="auto"/>
              </w:rPr>
            </w:pPr>
          </w:p>
        </w:tc>
        <w:tc>
          <w:tcPr>
            <w:tcW w:w="428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w:t>
            </w:r>
          </w:p>
        </w:tc>
        <w:tc>
          <w:tcPr>
            <w:tcW w:w="4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Raw materials</w:t>
            </w:r>
          </w:p>
        </w:tc>
        <w:tc>
          <w:tcPr>
            <w:tcW w:w="5340" w:type="dxa"/>
            <w:vAlign w:val="bottom"/>
            <w:gridSpan w:val="2"/>
          </w:tcPr>
          <w:p>
            <w:pPr>
              <w:jc w:val="right"/>
              <w:ind w:right="87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Work-in-process</w:t>
            </w:r>
          </w:p>
        </w:tc>
        <w:tc>
          <w:tcPr>
            <w:tcW w:w="4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Finished goods</w:t>
            </w:r>
          </w:p>
        </w:tc>
        <w:tc>
          <w:tcPr>
            <w:tcW w:w="4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inventory, non-current</w:t>
            </w:r>
          </w:p>
        </w:tc>
        <w:tc>
          <w:tcPr>
            <w:tcW w:w="4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2,897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8"/>
                <w:szCs w:val="18"/>
                <w:color w:val="auto"/>
              </w:rPr>
              <w:t>Total inventory</w:t>
            </w:r>
          </w:p>
        </w:tc>
        <w:tc>
          <w:tcPr>
            <w:tcW w:w="4280" w:type="dxa"/>
            <w:vAlign w:val="bottom"/>
          </w:tcPr>
          <w:p>
            <w:pPr>
              <w:spacing w:after="0"/>
              <w:rPr>
                <w:sz w:val="20"/>
                <w:szCs w:val="20"/>
                <w:color w:val="auto"/>
              </w:rPr>
            </w:pPr>
          </w:p>
        </w:tc>
        <w:tc>
          <w:tcPr>
            <w:tcW w:w="106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3,954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4280" w:type="dxa"/>
            <w:vAlign w:val="bottom"/>
            <w:vMerge w:val="restart"/>
          </w:tcPr>
          <w:p>
            <w:pPr>
              <w:jc w:val="right"/>
              <w:ind w:right="2234"/>
              <w:spacing w:after="0"/>
              <w:rPr>
                <w:sz w:val="20"/>
                <w:szCs w:val="20"/>
                <w:color w:val="auto"/>
              </w:rPr>
            </w:pPr>
            <w:r>
              <w:rPr>
                <w:rFonts w:ascii="Arial" w:cs="Arial" w:eastAsia="Arial" w:hAnsi="Arial"/>
                <w:sz w:val="18"/>
                <w:szCs w:val="18"/>
                <w:color w:val="auto"/>
              </w:rPr>
              <w:t>14</w:t>
            </w: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280" w:type="dxa"/>
            <w:vAlign w:val="bottom"/>
            <w:vMerge w:val="continue"/>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4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Company's long-term leases primarily include operating leases and subleases for office space in Washington, D.C. and London, England. The Company recognized ROU assets and lease liabilities related to fixed payments for these long-term operating leases in its condensed consolidated balance sheet as of June 30, 2019. The Company also has various short-term leases, including office space in Berlin, Germany.</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June 2011, the Company entered into an operating lease agreement under which it leases 33,534 square feet of office space for its headquarters at 2200 Pennsylvania Avenue, N.W. in Washington, D.C. Subject to the prior rights of other tenants, the Company has the right to renew the lease for five years following its expiration in July 2028. As of June 30, 2019, the renewal period has not been included in the lease term. The Company has the right to sublease or assign all or a portion of the premises, subject to standard conditions. The lease may be terminated early by the Company or the landlord under certain circumstances.</w:t>
      </w:r>
    </w:p>
    <w:p>
      <w:pPr>
        <w:spacing w:after="0" w:line="188"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In June 2016, the Company entered into a sublease agreement under which it subleases 9,928 square feet of office space for its headquarters at 2200 Pennsylvania Avenue, N.W. in Washington, D.C. The sublease term began in January 2017 and ends in July 2026, but may be terminated earlier by either party under certain circumstances. The Company has the right to sublease or assign all or a portion of the premises, subject to standard conditions.</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May 2016, the Company entered into an operating lease agreement under which it leases 2,880 square feet of office space for its European headquarters in London, England. The Company has the right to renew the lease for five years following its expiration in 2021. As of June 30, 2019, the renewal period has not been included in the lease term.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ROU assets and operating lease liabilities as of June 30, 2019:</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4080" w:type="dxa"/>
            <w:vAlign w:val="bottom"/>
            <w:gridSpan w:val="2"/>
          </w:tcPr>
          <w:p>
            <w:pPr>
              <w:ind w:left="920"/>
              <w:spacing w:after="0"/>
              <w:rPr>
                <w:sz w:val="20"/>
                <w:szCs w:val="20"/>
                <w:color w:val="auto"/>
              </w:rPr>
            </w:pPr>
            <w:r>
              <w:rPr>
                <w:rFonts w:ascii="Arial" w:cs="Arial" w:eastAsia="Arial" w:hAnsi="Arial"/>
                <w:sz w:val="14"/>
                <w:szCs w:val="14"/>
                <w:b w:val="1"/>
                <w:bCs w:val="1"/>
                <w:color w:val="auto"/>
              </w:rPr>
              <w:t>Classification on the Balance Sheet</w:t>
            </w:r>
          </w:p>
        </w:tc>
        <w:tc>
          <w:tcPr>
            <w:tcW w:w="280" w:type="dxa"/>
            <w:vAlign w:val="bottom"/>
          </w:tcPr>
          <w:p>
            <w:pPr>
              <w:spacing w:after="0"/>
              <w:rPr>
                <w:sz w:val="16"/>
                <w:szCs w:val="16"/>
                <w:color w:val="auto"/>
              </w:rPr>
            </w:pPr>
          </w:p>
        </w:tc>
        <w:tc>
          <w:tcPr>
            <w:tcW w:w="1400" w:type="dxa"/>
            <w:vAlign w:val="bottom"/>
          </w:tcPr>
          <w:p>
            <w:pPr>
              <w:jc w:val="right"/>
              <w:ind w:right="333"/>
              <w:spacing w:after="0"/>
              <w:rPr>
                <w:sz w:val="20"/>
                <w:szCs w:val="20"/>
                <w:color w:val="auto"/>
              </w:rPr>
            </w:pPr>
            <w:r>
              <w:rPr>
                <w:rFonts w:ascii="Arial" w:cs="Arial" w:eastAsia="Arial" w:hAnsi="Arial"/>
                <w:sz w:val="14"/>
                <w:szCs w:val="14"/>
                <w:b w:val="1"/>
                <w:bCs w:val="1"/>
                <w:color w:val="auto"/>
              </w:rPr>
              <w:t>June 30, 2019</w:t>
            </w:r>
          </w:p>
        </w:tc>
      </w:tr>
      <w:tr>
        <w:trPr>
          <w:trHeight w:val="250"/>
        </w:trPr>
        <w:tc>
          <w:tcPr>
            <w:tcW w:w="5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Operating lease assets</w:t>
            </w:r>
          </w:p>
        </w:tc>
        <w:tc>
          <w:tcPr>
            <w:tcW w:w="4080" w:type="dxa"/>
            <w:vAlign w:val="bottom"/>
            <w:gridSpan w:val="2"/>
          </w:tcPr>
          <w:p>
            <w:pPr>
              <w:ind w:left="4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11,718</w:t>
            </w:r>
          </w:p>
        </w:tc>
      </w:tr>
      <w:tr>
        <w:trPr>
          <w:trHeight w:val="27"/>
        </w:trPr>
        <w:tc>
          <w:tcPr>
            <w:tcW w:w="56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660" w:type="dxa"/>
            <w:vAlign w:val="bottom"/>
            <w:shd w:val="clear" w:color="auto" w:fill="CCEEFF"/>
          </w:tcPr>
          <w:p>
            <w:pPr>
              <w:spacing w:after="0"/>
              <w:rPr>
                <w:sz w:val="23"/>
                <w:szCs w:val="23"/>
                <w:color w:val="auto"/>
              </w:rPr>
            </w:pPr>
          </w:p>
        </w:tc>
        <w:tc>
          <w:tcPr>
            <w:tcW w:w="3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current liabilities</w:t>
            </w:r>
          </w:p>
        </w:tc>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2,257</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Operating lease non-current liabilities</w:t>
            </w:r>
          </w:p>
        </w:tc>
        <w:tc>
          <w:tcPr>
            <w:tcW w:w="4080" w:type="dxa"/>
            <w:vAlign w:val="bottom"/>
            <w:gridSpan w:val="2"/>
          </w:tcPr>
          <w:p>
            <w:pPr>
              <w:ind w:left="40"/>
              <w:spacing w:after="0"/>
              <w:rPr>
                <w:sz w:val="20"/>
                <w:szCs w:val="20"/>
                <w:color w:val="auto"/>
              </w:rPr>
            </w:pPr>
            <w:r>
              <w:rPr>
                <w:rFonts w:ascii="Arial" w:cs="Arial" w:eastAsia="Arial" w:hAnsi="Arial"/>
                <w:sz w:val="18"/>
                <w:szCs w:val="18"/>
                <w:color w:val="auto"/>
              </w:rPr>
              <w:t>Operating lease non-current liabilities</w:t>
            </w:r>
          </w:p>
        </w:tc>
        <w:tc>
          <w:tcPr>
            <w:tcW w:w="280" w:type="dxa"/>
            <w:vAlign w:val="bottom"/>
          </w:tcPr>
          <w:p>
            <w:pPr>
              <w:spacing w:after="0"/>
              <w:rPr>
                <w:sz w:val="21"/>
                <w:szCs w:val="21"/>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12,992</w:t>
            </w:r>
          </w:p>
        </w:tc>
      </w:tr>
      <w:tr>
        <w:trPr>
          <w:trHeight w:val="27"/>
        </w:trPr>
        <w:tc>
          <w:tcPr>
            <w:tcW w:w="56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3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15,249</w:t>
            </w:r>
          </w:p>
        </w:tc>
      </w:tr>
      <w:tr>
        <w:trPr>
          <w:trHeight w:val="20"/>
        </w:trPr>
        <w:tc>
          <w:tcPr>
            <w:tcW w:w="5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57"/>
        </w:trPr>
        <w:tc>
          <w:tcPr>
            <w:tcW w:w="566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w:t>
            </w:r>
          </w:p>
        </w:tc>
        <w:tc>
          <w:tcPr>
            <w:tcW w:w="3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8.5 Years</w:t>
            </w:r>
          </w:p>
        </w:tc>
      </w:tr>
      <w:tr>
        <w:trPr>
          <w:trHeight w:val="341"/>
        </w:trPr>
        <w:tc>
          <w:tcPr>
            <w:tcW w:w="5660" w:type="dxa"/>
            <w:vAlign w:val="bottom"/>
          </w:tcPr>
          <w:p>
            <w:pPr>
              <w:ind w:left="40"/>
              <w:spacing w:after="0"/>
              <w:rPr>
                <w:sz w:val="20"/>
                <w:szCs w:val="20"/>
                <w:color w:val="auto"/>
              </w:rPr>
            </w:pPr>
            <w:r>
              <w:rPr>
                <w:rFonts w:ascii="Arial" w:cs="Arial" w:eastAsia="Arial" w:hAnsi="Arial"/>
                <w:sz w:val="18"/>
                <w:szCs w:val="18"/>
                <w:color w:val="auto"/>
              </w:rPr>
              <w:t>Weighted-average discount rate</w:t>
            </w:r>
            <w:r>
              <w:rPr>
                <w:rFonts w:ascii="Arial" w:cs="Arial" w:eastAsia="Arial" w:hAnsi="Arial"/>
                <w:sz w:val="25"/>
                <w:szCs w:val="25"/>
                <w:color w:val="auto"/>
                <w:vertAlign w:val="superscript"/>
              </w:rPr>
              <w:t>(1)</w:t>
            </w: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w:t>
            </w:r>
          </w:p>
        </w:tc>
      </w:tr>
    </w:tbl>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Upon adoption of the new lease standard, discount rates used for existing leases were established at January 1, 2019.</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For the three and six months ended June 30, 2019, the Company recognized operating lease cost of $0.6 million and $1.2 million, respectively, and short-term operating lease cost of $0.1 million and $0.2 million, respectively. The Company also recognized $0.3 million and $0.7 million, respectively, of expense related to non-lease elements, such as building maintenance services and utilities, and executory costs associated with the operating leases. For existing leases as of January 1, 2019, executory costs are excluded from operating lease expense, which is consistent with the Company's accounting under ASC 840. For all leases entered into after January 1, 2019, executory costs are allocated between lease and non-lease elements based upon their relative stand-alone prices. For the three and six months ended June 30, 2018, the Company recognized $0.9 million and $1.8 million of rent expense, respectively, inclusive of lease expense, non-lease elements, and executory costs for short and long-term operating leases.</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paid for amounts included in the measurement of operating lease liabilities is included in operating cash flows was $1.2 million for the six months ended June 30,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reconciles the Company's future cash obligations to operating lease liabilities recorded on the balance sheet as of June 30, 2019:</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5"/>
              </w:rPr>
              <w:t>Operating Leases</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2,317</w:t>
            </w:r>
          </w:p>
        </w:tc>
      </w:tr>
      <w:tr>
        <w:trPr>
          <w:trHeight w:val="27"/>
        </w:trPr>
        <w:tc>
          <w:tcPr>
            <w:tcW w:w="9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2,355</w:t>
            </w:r>
          </w:p>
        </w:tc>
      </w:tr>
      <w:tr>
        <w:trPr>
          <w:trHeight w:val="27"/>
        </w:trPr>
        <w:tc>
          <w:tcPr>
            <w:tcW w:w="9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10,669</w:t>
            </w:r>
          </w:p>
        </w:tc>
      </w:tr>
      <w:tr>
        <w:trPr>
          <w:trHeight w:val="27"/>
        </w:trPr>
        <w:tc>
          <w:tcPr>
            <w:tcW w:w="9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Less: amount of lease payments representing interest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(6,110)</w:t>
            </w:r>
          </w:p>
        </w:tc>
      </w:tr>
      <w:tr>
        <w:trPr>
          <w:trHeight w:val="27"/>
        </w:trPr>
        <w:tc>
          <w:tcPr>
            <w:tcW w:w="9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future minimum lease payments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15,249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Less: current obligations under leases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(2,257)</w:t>
            </w:r>
          </w:p>
        </w:tc>
      </w:tr>
      <w:tr>
        <w:trPr>
          <w:trHeight w:val="27"/>
        </w:trPr>
        <w:tc>
          <w:tcPr>
            <w:tcW w:w="9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non-current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12,992</w:t>
            </w:r>
          </w:p>
        </w:tc>
      </w:tr>
      <w:tr>
        <w:trPr>
          <w:trHeight w:val="20"/>
        </w:trPr>
        <w:tc>
          <w:tcPr>
            <w:tcW w:w="9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future minimum payments under noncancellable operating leases under ASC 840 were as follows: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center"/>
              <w:ind w:left="796"/>
              <w:spacing w:after="0"/>
              <w:rPr>
                <w:sz w:val="20"/>
                <w:szCs w:val="20"/>
                <w:color w:val="auto"/>
              </w:rPr>
            </w:pPr>
            <w:r>
              <w:rPr>
                <w:rFonts w:ascii="Arial" w:cs="Arial" w:eastAsia="Arial" w:hAnsi="Arial"/>
                <w:sz w:val="14"/>
                <w:szCs w:val="14"/>
                <w:b w:val="1"/>
                <w:bCs w:val="1"/>
                <w:color w:val="auto"/>
                <w:w w:val="92"/>
              </w:rPr>
              <w:t>Cash Payments Due by Year</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28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280" w:type="dxa"/>
            <w:vAlign w:val="bottom"/>
            <w:gridSpan w:val="2"/>
          </w:tcPr>
          <w:p>
            <w:pPr>
              <w:ind w:left="400"/>
              <w:spacing w:after="0"/>
              <w:rPr>
                <w:sz w:val="20"/>
                <w:szCs w:val="20"/>
                <w:color w:val="auto"/>
              </w:rPr>
            </w:pPr>
            <w:r>
              <w:rPr>
                <w:rFonts w:ascii="Arial" w:cs="Arial" w:eastAsia="Arial" w:hAnsi="Arial"/>
                <w:sz w:val="18"/>
                <w:szCs w:val="18"/>
                <w:color w:val="auto"/>
              </w:rPr>
              <w:t>Total</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2"/>
                <w:szCs w:val="22"/>
                <w:color w:val="auto"/>
              </w:rPr>
            </w:pPr>
          </w:p>
        </w:tc>
        <w:tc>
          <w:tcPr>
            <w:tcW w:w="1140" w:type="dxa"/>
            <w:vAlign w:val="bottom"/>
          </w:tcPr>
          <w:p>
            <w:pPr>
              <w:jc w:val="right"/>
              <w:ind w:right="316"/>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2"/>
                <w:szCs w:val="22"/>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2"/>
                <w:szCs w:val="22"/>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2"/>
                <w:szCs w:val="22"/>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Thereafter</w:t>
            </w:r>
          </w:p>
        </w:tc>
      </w:tr>
      <w:tr>
        <w:trPr>
          <w:trHeight w:val="243"/>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22,757</w:t>
            </w:r>
          </w:p>
        </w:tc>
        <w:tc>
          <w:tcPr>
            <w:tcW w:w="12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2,483</w:t>
            </w:r>
          </w:p>
        </w:tc>
        <w:tc>
          <w:tcPr>
            <w:tcW w:w="12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2,495</w:t>
            </w:r>
          </w:p>
        </w:tc>
        <w:tc>
          <w:tcPr>
            <w:tcW w:w="1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2,335</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2,355</w:t>
            </w:r>
          </w:p>
        </w:tc>
        <w:tc>
          <w:tcPr>
            <w:tcW w:w="10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2,420</w:t>
            </w:r>
          </w:p>
        </w:tc>
        <w:tc>
          <w:tcPr>
            <w:tcW w:w="1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10,669</w:t>
            </w:r>
          </w:p>
        </w:tc>
      </w:tr>
      <w:tr>
        <w:trPr>
          <w:trHeight w:val="27"/>
        </w:trPr>
        <w:tc>
          <w:tcPr>
            <w:tcW w:w="28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121"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i w:val="1"/>
          <w:iCs w:val="1"/>
          <w:color w:val="auto"/>
        </w:rPr>
        <w:t>HETLIOZ</w:t>
      </w:r>
      <w:r>
        <w:rPr>
          <w:rFonts w:ascii="Arial" w:cs="Arial" w:eastAsia="Arial" w:hAnsi="Arial"/>
          <w:sz w:val="21"/>
          <w:szCs w:val="2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January 2014, the Company announced that the FDA had approved the New Drug Application (NDA) for HETLIOZ</w:t>
      </w:r>
      <w:r>
        <w:rPr>
          <w:rFonts w:ascii="Arial" w:cs="Arial" w:eastAsia="Arial" w:hAnsi="Arial"/>
          <w:sz w:val="21"/>
          <w:szCs w:val="21"/>
          <w:color w:val="auto"/>
          <w:vertAlign w:val="superscript"/>
        </w:rPr>
        <w:t>®</w:t>
      </w:r>
      <w:r>
        <w:rPr>
          <w:rFonts w:ascii="Arial" w:cs="Arial" w:eastAsia="Arial" w:hAnsi="Arial"/>
          <w:sz w:val="18"/>
          <w:szCs w:val="18"/>
          <w:color w:val="auto"/>
        </w:rPr>
        <w:t>. As a result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the Company met a milestone under its license agreement with Bristol-Myers Squibb (BMS) that required the Company to make a license payment of $8.0 million to BMS. The $8.0 million is being amortized on a straight-line basis over the estimated economic useful life of the related product patents, the latest of which expires in February 2035.</w:t>
      </w:r>
    </w:p>
    <w:p>
      <w:pPr>
        <w:spacing w:after="0" w:line="20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April 2018, the Company met its final milestone under its license agreement when cumulative worldwide sales of HETLIOZ</w:t>
      </w:r>
      <w:r>
        <w:rPr>
          <w:rFonts w:ascii="Arial" w:cs="Arial" w:eastAsia="Arial" w:hAnsi="Arial"/>
          <w:sz w:val="21"/>
          <w:szCs w:val="21"/>
          <w:color w:val="auto"/>
          <w:vertAlign w:val="superscript"/>
        </w:rPr>
        <w:t>®</w:t>
      </w:r>
      <w:r>
        <w:rPr>
          <w:rFonts w:ascii="Arial" w:cs="Arial" w:eastAsia="Arial" w:hAnsi="Arial"/>
          <w:sz w:val="18"/>
          <w:szCs w:val="18"/>
          <w:color w:val="auto"/>
        </w:rPr>
        <w:t xml:space="preserve"> reached $250.0 million. As a result of the achievement of this milestone, the Company made a payment to BMS of $25.0 million in the second quarter of 2018. The $25.0 million was determined to be additional consideration for the acquisition of the HETLIOZ</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intangible asset and is being amortized on a straight-line basis over the estimated economic useful life of the related product patents, the latest of which expires in February 2035.</w:t>
      </w:r>
    </w:p>
    <w:p>
      <w:pPr>
        <w:spacing w:after="0" w:line="20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estimated economic useful life of both the $8.0 million and the $25.0 million intangible assets were changed from May 2034 to February 2035 based on the February 2035 expiration date of U.S. patent number 10,071,977 ('977 patent) issued by the U.S. Patent and Trademark Office in September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intangible assets as of June 30, 2019:</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13"/>
                <w:szCs w:val="13"/>
                <w:color w:val="auto"/>
              </w:rPr>
            </w:pPr>
          </w:p>
        </w:tc>
        <w:tc>
          <w:tcPr>
            <w:tcW w:w="3480" w:type="dxa"/>
            <w:vAlign w:val="bottom"/>
          </w:tcPr>
          <w:p>
            <w:pPr>
              <w:jc w:val="center"/>
              <w:ind w:left="1541"/>
              <w:spacing w:after="0" w:line="153" w:lineRule="exact"/>
              <w:rPr>
                <w:sz w:val="20"/>
                <w:szCs w:val="20"/>
                <w:color w:val="auto"/>
              </w:rPr>
            </w:pPr>
            <w:r>
              <w:rPr>
                <w:rFonts w:ascii="Arial" w:cs="Arial" w:eastAsia="Arial" w:hAnsi="Arial"/>
                <w:sz w:val="14"/>
                <w:szCs w:val="14"/>
                <w:b w:val="1"/>
                <w:bCs w:val="1"/>
                <w:color w:val="auto"/>
                <w:w w:val="92"/>
              </w:rPr>
              <w:t>Estimated</w:t>
            </w:r>
          </w:p>
        </w:tc>
        <w:tc>
          <w:tcPr>
            <w:tcW w:w="320" w:type="dxa"/>
            <w:vAlign w:val="bottom"/>
          </w:tcPr>
          <w:p>
            <w:pPr>
              <w:spacing w:after="0"/>
              <w:rPr>
                <w:sz w:val="13"/>
                <w:szCs w:val="13"/>
                <w:color w:val="auto"/>
              </w:rPr>
            </w:pPr>
          </w:p>
        </w:tc>
        <w:tc>
          <w:tcPr>
            <w:tcW w:w="13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3"/>
                <w:szCs w:val="13"/>
                <w:color w:val="auto"/>
              </w:rPr>
            </w:pPr>
          </w:p>
        </w:tc>
        <w:tc>
          <w:tcPr>
            <w:tcW w:w="1280" w:type="dxa"/>
            <w:vAlign w:val="bottom"/>
          </w:tcPr>
          <w:p>
            <w:pPr>
              <w:jc w:val="center"/>
              <w:ind w:right="224"/>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3480" w:type="dxa"/>
            <w:vAlign w:val="bottom"/>
          </w:tcPr>
          <w:p>
            <w:pPr>
              <w:jc w:val="center"/>
              <w:ind w:left="1561"/>
              <w:spacing w:after="0" w:line="149" w:lineRule="exact"/>
              <w:rPr>
                <w:sz w:val="20"/>
                <w:szCs w:val="20"/>
                <w:color w:val="auto"/>
              </w:rPr>
            </w:pPr>
            <w:r>
              <w:rPr>
                <w:rFonts w:ascii="Arial" w:cs="Arial" w:eastAsia="Arial" w:hAnsi="Arial"/>
                <w:sz w:val="14"/>
                <w:szCs w:val="14"/>
                <w:b w:val="1"/>
                <w:bCs w:val="1"/>
                <w:color w:val="auto"/>
                <w:w w:val="94"/>
              </w:rPr>
              <w:t>Useful Life</w:t>
            </w:r>
          </w:p>
        </w:tc>
        <w:tc>
          <w:tcPr>
            <w:tcW w:w="32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29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480" w:type="dxa"/>
            <w:vAlign w:val="bottom"/>
          </w:tcPr>
          <w:p>
            <w:pPr>
              <w:jc w:val="center"/>
              <w:ind w:left="1561"/>
              <w:spacing w:after="0"/>
              <w:rPr>
                <w:sz w:val="20"/>
                <w:szCs w:val="20"/>
                <w:color w:val="auto"/>
              </w:rPr>
            </w:pPr>
            <w:r>
              <w:rPr>
                <w:rFonts w:ascii="Arial" w:cs="Arial" w:eastAsia="Arial" w:hAnsi="Arial"/>
                <w:sz w:val="14"/>
                <w:szCs w:val="14"/>
                <w:b w:val="1"/>
                <w:bCs w:val="1"/>
                <w:color w:val="auto"/>
                <w:w w:val="92"/>
              </w:rPr>
              <w:t>(Years)</w:t>
            </w:r>
          </w:p>
        </w:tc>
        <w:tc>
          <w:tcPr>
            <w:tcW w:w="32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6"/>
                <w:szCs w:val="16"/>
                <w:color w:val="auto"/>
              </w:rPr>
            </w:pPr>
          </w:p>
        </w:tc>
        <w:tc>
          <w:tcPr>
            <w:tcW w:w="1280" w:type="dxa"/>
            <w:vAlign w:val="bottom"/>
          </w:tcPr>
          <w:p>
            <w:pPr>
              <w:jc w:val="center"/>
              <w:ind w:right="22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70"/>
        </w:trPr>
        <w:tc>
          <w:tcPr>
            <w:tcW w:w="2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HETLIOZ</w:t>
            </w:r>
            <w:r>
              <w:rPr>
                <w:rFonts w:ascii="Arial" w:cs="Arial" w:eastAsia="Arial" w:hAnsi="Arial"/>
                <w:sz w:val="21"/>
                <w:szCs w:val="21"/>
                <w:color w:val="auto"/>
                <w:vertAlign w:val="superscript"/>
              </w:rPr>
              <w:t>®</w:t>
            </w:r>
          </w:p>
        </w:tc>
        <w:tc>
          <w:tcPr>
            <w:tcW w:w="3480" w:type="dxa"/>
            <w:vAlign w:val="bottom"/>
            <w:tcBorders>
              <w:top w:val="single" w:sz="8" w:color="CCEEFF"/>
            </w:tcBorders>
            <w:shd w:val="clear" w:color="auto" w:fill="CCEEFF"/>
          </w:tcPr>
          <w:p>
            <w:pPr>
              <w:jc w:val="center"/>
              <w:ind w:left="1561"/>
              <w:spacing w:after="0"/>
              <w:rPr>
                <w:sz w:val="20"/>
                <w:szCs w:val="20"/>
                <w:color w:val="auto"/>
              </w:rPr>
            </w:pPr>
            <w:r>
              <w:rPr>
                <w:rFonts w:ascii="Arial" w:cs="Arial" w:eastAsia="Arial" w:hAnsi="Arial"/>
                <w:sz w:val="18"/>
                <w:szCs w:val="18"/>
                <w:color w:val="auto"/>
                <w:w w:val="88"/>
              </w:rPr>
              <w:t>February 2035</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33,000</w:t>
            </w: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9,217</w:t>
            </w: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23,783</w:t>
            </w:r>
          </w:p>
        </w:tc>
        <w:tc>
          <w:tcPr>
            <w:tcW w:w="0" w:type="dxa"/>
            <w:vAlign w:val="bottom"/>
          </w:tcPr>
          <w:p>
            <w:pPr>
              <w:spacing w:after="0"/>
              <w:rPr>
                <w:sz w:val="1"/>
                <w:szCs w:val="1"/>
                <w:color w:val="auto"/>
              </w:rPr>
            </w:pPr>
          </w:p>
        </w:tc>
      </w:tr>
      <w:tr>
        <w:trPr>
          <w:trHeight w:val="459"/>
        </w:trPr>
        <w:tc>
          <w:tcPr>
            <w:tcW w:w="2940" w:type="dxa"/>
            <w:vAlign w:val="bottom"/>
          </w:tcPr>
          <w:p>
            <w:pPr>
              <w:spacing w:after="0"/>
              <w:rPr>
                <w:sz w:val="24"/>
                <w:szCs w:val="24"/>
                <w:color w:val="auto"/>
              </w:rPr>
            </w:pPr>
          </w:p>
        </w:tc>
        <w:tc>
          <w:tcPr>
            <w:tcW w:w="3480" w:type="dxa"/>
            <w:vAlign w:val="bottom"/>
          </w:tcPr>
          <w:p>
            <w:pPr>
              <w:jc w:val="right"/>
              <w:ind w:right="541"/>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intangible assets as of December 31, 2018:</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2018</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13"/>
                <w:szCs w:val="13"/>
                <w:color w:val="auto"/>
              </w:rPr>
            </w:pPr>
          </w:p>
        </w:tc>
        <w:tc>
          <w:tcPr>
            <w:tcW w:w="3480" w:type="dxa"/>
            <w:vAlign w:val="bottom"/>
          </w:tcPr>
          <w:p>
            <w:pPr>
              <w:jc w:val="center"/>
              <w:ind w:left="1544"/>
              <w:spacing w:after="0" w:line="153" w:lineRule="exact"/>
              <w:rPr>
                <w:sz w:val="20"/>
                <w:szCs w:val="20"/>
                <w:color w:val="auto"/>
              </w:rPr>
            </w:pPr>
            <w:r>
              <w:rPr>
                <w:rFonts w:ascii="Arial" w:cs="Arial" w:eastAsia="Arial" w:hAnsi="Arial"/>
                <w:sz w:val="14"/>
                <w:szCs w:val="14"/>
                <w:b w:val="1"/>
                <w:bCs w:val="1"/>
                <w:color w:val="auto"/>
                <w:w w:val="92"/>
              </w:rPr>
              <w:t>Estimated</w:t>
            </w:r>
          </w:p>
        </w:tc>
        <w:tc>
          <w:tcPr>
            <w:tcW w:w="320" w:type="dxa"/>
            <w:vAlign w:val="bottom"/>
          </w:tcPr>
          <w:p>
            <w:pPr>
              <w:spacing w:after="0"/>
              <w:rPr>
                <w:sz w:val="13"/>
                <w:szCs w:val="13"/>
                <w:color w:val="auto"/>
              </w:rPr>
            </w:pPr>
          </w:p>
        </w:tc>
        <w:tc>
          <w:tcPr>
            <w:tcW w:w="13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320" w:type="dxa"/>
            <w:vAlign w:val="bottom"/>
          </w:tcPr>
          <w:p>
            <w:pPr>
              <w:spacing w:after="0"/>
              <w:rPr>
                <w:sz w:val="13"/>
                <w:szCs w:val="13"/>
                <w:color w:val="auto"/>
              </w:rPr>
            </w:pPr>
          </w:p>
        </w:tc>
        <w:tc>
          <w:tcPr>
            <w:tcW w:w="1280" w:type="dxa"/>
            <w:vAlign w:val="bottom"/>
          </w:tcPr>
          <w:p>
            <w:pPr>
              <w:jc w:val="center"/>
              <w:ind w:right="224"/>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3480" w:type="dxa"/>
            <w:vAlign w:val="bottom"/>
          </w:tcPr>
          <w:p>
            <w:pPr>
              <w:jc w:val="center"/>
              <w:ind w:left="1564"/>
              <w:spacing w:after="0" w:line="149" w:lineRule="exact"/>
              <w:rPr>
                <w:sz w:val="20"/>
                <w:szCs w:val="20"/>
                <w:color w:val="auto"/>
              </w:rPr>
            </w:pPr>
            <w:r>
              <w:rPr>
                <w:rFonts w:ascii="Arial" w:cs="Arial" w:eastAsia="Arial" w:hAnsi="Arial"/>
                <w:sz w:val="14"/>
                <w:szCs w:val="14"/>
                <w:b w:val="1"/>
                <w:bCs w:val="1"/>
                <w:color w:val="auto"/>
                <w:w w:val="94"/>
              </w:rPr>
              <w:t>Useful Life</w:t>
            </w:r>
          </w:p>
        </w:tc>
        <w:tc>
          <w:tcPr>
            <w:tcW w:w="32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29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480" w:type="dxa"/>
            <w:vAlign w:val="bottom"/>
          </w:tcPr>
          <w:p>
            <w:pPr>
              <w:jc w:val="center"/>
              <w:ind w:left="1564"/>
              <w:spacing w:after="0"/>
              <w:rPr>
                <w:sz w:val="20"/>
                <w:szCs w:val="20"/>
                <w:color w:val="auto"/>
              </w:rPr>
            </w:pPr>
            <w:r>
              <w:rPr>
                <w:rFonts w:ascii="Arial" w:cs="Arial" w:eastAsia="Arial" w:hAnsi="Arial"/>
                <w:sz w:val="14"/>
                <w:szCs w:val="14"/>
                <w:b w:val="1"/>
                <w:bCs w:val="1"/>
                <w:color w:val="auto"/>
                <w:w w:val="92"/>
              </w:rPr>
              <w:t>(Years)</w:t>
            </w:r>
          </w:p>
        </w:tc>
        <w:tc>
          <w:tcPr>
            <w:tcW w:w="32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Amortization</w:t>
            </w:r>
          </w:p>
        </w:tc>
        <w:tc>
          <w:tcPr>
            <w:tcW w:w="320" w:type="dxa"/>
            <w:vAlign w:val="bottom"/>
          </w:tcPr>
          <w:p>
            <w:pPr>
              <w:spacing w:after="0"/>
              <w:rPr>
                <w:sz w:val="16"/>
                <w:szCs w:val="16"/>
                <w:color w:val="auto"/>
              </w:rPr>
            </w:pPr>
          </w:p>
        </w:tc>
        <w:tc>
          <w:tcPr>
            <w:tcW w:w="1280" w:type="dxa"/>
            <w:vAlign w:val="bottom"/>
          </w:tcPr>
          <w:p>
            <w:pPr>
              <w:jc w:val="center"/>
              <w:ind w:right="22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70"/>
        </w:trPr>
        <w:tc>
          <w:tcPr>
            <w:tcW w:w="2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HETLIOZ</w:t>
            </w:r>
            <w:r>
              <w:rPr>
                <w:rFonts w:ascii="Arial" w:cs="Arial" w:eastAsia="Arial" w:hAnsi="Arial"/>
                <w:sz w:val="21"/>
                <w:szCs w:val="21"/>
                <w:color w:val="auto"/>
                <w:vertAlign w:val="superscript"/>
              </w:rPr>
              <w:t>®</w:t>
            </w:r>
          </w:p>
        </w:tc>
        <w:tc>
          <w:tcPr>
            <w:tcW w:w="3480" w:type="dxa"/>
            <w:vAlign w:val="bottom"/>
            <w:tcBorders>
              <w:top w:val="single" w:sz="8" w:color="CCEEFF"/>
            </w:tcBorders>
            <w:shd w:val="clear" w:color="auto" w:fill="CCEEFF"/>
          </w:tcPr>
          <w:p>
            <w:pPr>
              <w:jc w:val="center"/>
              <w:ind w:left="1564"/>
              <w:spacing w:after="0"/>
              <w:rPr>
                <w:sz w:val="20"/>
                <w:szCs w:val="20"/>
                <w:color w:val="auto"/>
              </w:rPr>
            </w:pPr>
            <w:r>
              <w:rPr>
                <w:rFonts w:ascii="Arial" w:cs="Arial" w:eastAsia="Arial" w:hAnsi="Arial"/>
                <w:sz w:val="18"/>
                <w:szCs w:val="18"/>
                <w:color w:val="auto"/>
                <w:w w:val="88"/>
              </w:rPr>
              <w:t>February 2035</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33,000</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8,458</w:t>
            </w: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24,542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and December 31, 2018, the Company also had $27.9 million of fully amortized intangible assets related to Fanapt</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19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Intangible assets are amortized over their estimated useful economic life using the straight-line method. Amortization expense was $0.4 million for each of the three months ended June 30, 2019 and 2018. Amortization expense was $0.8 million for each of the six months ended June 30, 2019 and 2018. The following is a summary of the future intangible asset amortization schedule as of June 30, 2019:</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Arial" w:cs="Arial" w:eastAsia="Arial" w:hAnsi="Arial"/>
                <w:sz w:val="14"/>
                <w:szCs w:val="14"/>
                <w:b w:val="1"/>
                <w:bCs w:val="1"/>
                <w:color w:val="auto"/>
              </w:rPr>
              <w:t>Thereafter</w:t>
            </w:r>
          </w:p>
        </w:tc>
      </w:tr>
      <w:tr>
        <w:trPr>
          <w:trHeight w:val="270"/>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HETLIOZ</w:t>
            </w:r>
            <w:r>
              <w:rPr>
                <w:rFonts w:ascii="Arial" w:cs="Arial" w:eastAsia="Arial" w:hAnsi="Arial"/>
                <w:sz w:val="21"/>
                <w:szCs w:val="21"/>
                <w:color w:val="auto"/>
                <w:vertAlign w:val="superscript"/>
              </w:rPr>
              <w:t>®</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23,783</w:t>
            </w: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759</w:t>
            </w: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1,518</w:t>
            </w: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1,518</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1,518</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1,518</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16,952</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Accounts Payable and Accrued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accounts payable and accrued liabilities as of June 30, 2019 and December 31, 2018:</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360" w:type="dxa"/>
            <w:vAlign w:val="bottom"/>
          </w:tcPr>
          <w:p>
            <w:pPr>
              <w:jc w:val="right"/>
              <w:ind w:right="31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Consulting and other professional fees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6,384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5,593</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Royalties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Compensation and employee benefits</w:t>
            </w: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4,769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6,363</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1,532</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payable and accrued liabilities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29,307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21,584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The following is a summary of the Company's noncancellable long-term contractual cash obligations as of June 30, 2019. See footnote 6, </w:t>
      </w:r>
      <w:r>
        <w:rPr>
          <w:rFonts w:ascii="Arial" w:cs="Arial" w:eastAsia="Arial" w:hAnsi="Arial"/>
          <w:sz w:val="18"/>
          <w:szCs w:val="18"/>
          <w:i w:val="1"/>
          <w:iCs w:val="1"/>
          <w:color w:val="auto"/>
        </w:rPr>
        <w:t>Leases</w:t>
      </w:r>
      <w:r>
        <w:rPr>
          <w:rFonts w:ascii="Arial" w:cs="Arial" w:eastAsia="Arial" w:hAnsi="Arial"/>
          <w:sz w:val="18"/>
          <w:szCs w:val="18"/>
          <w:color w:val="auto"/>
        </w:rPr>
        <w:t>, for the maturities of the Company's operating lease liabilities as of June 30, 2019.</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center"/>
              <w:ind w:left="782"/>
              <w:spacing w:after="0"/>
              <w:rPr>
                <w:sz w:val="20"/>
                <w:szCs w:val="20"/>
                <w:color w:val="auto"/>
              </w:rPr>
            </w:pPr>
            <w:r>
              <w:rPr>
                <w:rFonts w:ascii="Arial" w:cs="Arial" w:eastAsia="Arial" w:hAnsi="Arial"/>
                <w:sz w:val="14"/>
                <w:szCs w:val="14"/>
                <w:b w:val="1"/>
                <w:bCs w:val="1"/>
                <w:color w:val="auto"/>
                <w:w w:val="92"/>
              </w:rPr>
              <w:t>Cash Payments Due by Year</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Thereafter</w:t>
            </w:r>
          </w:p>
        </w:tc>
      </w:tr>
      <w:tr>
        <w:trPr>
          <w:trHeight w:val="243"/>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commitments</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15,732</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5,532</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8,753</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966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7"/>
        </w:trPr>
        <w:tc>
          <w:tcPr>
            <w:tcW w:w="28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has entered into a number of standard intellectual property indemnification agreements in the ordinary course of its business. Pursuant to these agreements, the Company indemnifies, holds harmless, and agrees to reimburse the indemnified party for losses suffered or incurred by the indemnified party, generally the Company’s business partners or customers, in connection with any U.S. patent or any copyright or other intellectual property infringement claim by any third party with respect to the Company’s products. The term of these indemnification agreements is generally perpetual from the date of execution of the agreement. The maximum potential amount of future payments the Company could be required to make under these indemnification agreements is unlimited. Since inception, the Company has not incurred costs to defend lawsuits or settle claims related to these indemnification agreements. The Company also indemnifies its officers and directors for certain events or occurrences, subject to certain conditions.</w:t>
      </w:r>
    </w:p>
    <w:p>
      <w:pPr>
        <w:sectPr>
          <w:pgSz w:w="11900" w:h="16838" w:orient="portrait"/>
          <w:cols w:equalWidth="0" w:num="1">
            <w:col w:w="11420"/>
          </w:cols>
          <w:pgMar w:left="240" w:top="118"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18" w:right="239"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Company’s rights to develop and commercialize its products are subject to the terms and conditions of licenses granted to the Company by other pharmaceutical companies.</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6"/>
          <w:szCs w:val="16"/>
          <w:i w:val="1"/>
          <w:iCs w:val="1"/>
          <w:color w:val="auto"/>
        </w:rPr>
        <w:t>HETLIOZ</w:t>
      </w:r>
      <w:r>
        <w:rPr>
          <w:rFonts w:ascii="Arial" w:cs="Arial" w:eastAsia="Arial" w:hAnsi="Arial"/>
          <w:sz w:val="19"/>
          <w:szCs w:val="19"/>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February 2004, the Company entered into a license agreement with BMS under which it received an exclusive worldwide license under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patents and patent applications, and other licenses to intellectual property, to develop and commercialize HETLIOZ</w:t>
      </w:r>
      <w:r>
        <w:rPr>
          <w:rFonts w:ascii="Arial" w:cs="Arial" w:eastAsia="Arial" w:hAnsi="Arial"/>
          <w:sz w:val="19"/>
          <w:szCs w:val="19"/>
          <w:color w:val="auto"/>
          <w:vertAlign w:val="superscript"/>
        </w:rPr>
        <w:t>®</w:t>
      </w:r>
      <w:r>
        <w:rPr>
          <w:rFonts w:ascii="Arial" w:cs="Arial" w:eastAsia="Arial" w:hAnsi="Arial"/>
          <w:sz w:val="16"/>
          <w:szCs w:val="16"/>
          <w:color w:val="auto"/>
        </w:rPr>
        <w:t>. As a result of the FDA’s approval of the HETLIOZ</w:t>
      </w:r>
      <w:r>
        <w:rPr>
          <w:rFonts w:ascii="Arial" w:cs="Arial" w:eastAsia="Arial" w:hAnsi="Arial"/>
          <w:sz w:val="19"/>
          <w:szCs w:val="19"/>
          <w:color w:val="auto"/>
          <w:vertAlign w:val="superscript"/>
        </w:rPr>
        <w:t>®</w:t>
      </w:r>
      <w:r>
        <w:rPr>
          <w:rFonts w:ascii="Arial" w:cs="Arial" w:eastAsia="Arial" w:hAnsi="Arial"/>
          <w:sz w:val="16"/>
          <w:szCs w:val="16"/>
          <w:color w:val="auto"/>
        </w:rPr>
        <w:t xml:space="preserve"> NDA in January 2014, the Company made an $8.0 million milestone payment to BMS in the first quarter of 2014 under the license agreement that was capitalized as an intangible asset and is being amortized over the estimated economic useful life of the related product patents for HETLIOZ</w:t>
      </w:r>
      <w:r>
        <w:rPr>
          <w:rFonts w:ascii="Arial" w:cs="Arial" w:eastAsia="Arial" w:hAnsi="Arial"/>
          <w:sz w:val="19"/>
          <w:szCs w:val="19"/>
          <w:color w:val="auto"/>
          <w:vertAlign w:val="superscript"/>
        </w:rPr>
        <w:t>®</w:t>
      </w:r>
      <w:r>
        <w:rPr>
          <w:rFonts w:ascii="Arial" w:cs="Arial" w:eastAsia="Arial" w:hAnsi="Arial"/>
          <w:sz w:val="16"/>
          <w:szCs w:val="16"/>
          <w:color w:val="auto"/>
        </w:rPr>
        <w:t xml:space="preserve"> in the U.S. In April 2018, the Company met another milestone under its license agreement when cumulative worldwide sales of HETLIOZ</w:t>
      </w:r>
      <w:r>
        <w:rPr>
          <w:rFonts w:ascii="Arial" w:cs="Arial" w:eastAsia="Arial" w:hAnsi="Arial"/>
          <w:sz w:val="19"/>
          <w:szCs w:val="19"/>
          <w:color w:val="auto"/>
          <w:vertAlign w:val="superscript"/>
        </w:rPr>
        <w:t>®</w:t>
      </w:r>
      <w:r>
        <w:rPr>
          <w:rFonts w:ascii="Arial" w:cs="Arial" w:eastAsia="Arial" w:hAnsi="Arial"/>
          <w:sz w:val="16"/>
          <w:szCs w:val="16"/>
          <w:color w:val="auto"/>
        </w:rPr>
        <w:t xml:space="preserve"> reached $250.0 million. As a result of the achievement of this milestone, the Company made a payment to BMS of $25.0 million in the second quarter of 2018. The $25.0 million milestone obligation was capitalized as an intangible asset in the first quarter of 2015 and is being amortized over the estimated economic useful life of the related product patents for HETLIOZ</w:t>
      </w:r>
      <w:r>
        <w:rPr>
          <w:rFonts w:ascii="Arial" w:cs="Arial" w:eastAsia="Arial" w:hAnsi="Arial"/>
          <w:sz w:val="19"/>
          <w:szCs w:val="19"/>
          <w:color w:val="auto"/>
          <w:vertAlign w:val="superscript"/>
        </w:rPr>
        <w:t>®</w:t>
      </w:r>
      <w:r>
        <w:rPr>
          <w:rFonts w:ascii="Arial" w:cs="Arial" w:eastAsia="Arial" w:hAnsi="Arial"/>
          <w:sz w:val="16"/>
          <w:szCs w:val="16"/>
          <w:color w:val="auto"/>
        </w:rPr>
        <w:t xml:space="preserve"> in the U.S. The Company has no remaining milestone obligations to BMS. Additionally, the Company is obligated to make royalty payments on HETLIOZ</w:t>
      </w:r>
      <w:r>
        <w:rPr>
          <w:rFonts w:ascii="Arial" w:cs="Arial" w:eastAsia="Arial" w:hAnsi="Arial"/>
          <w:sz w:val="19"/>
          <w:szCs w:val="19"/>
          <w:color w:val="auto"/>
          <w:vertAlign w:val="superscript"/>
        </w:rPr>
        <w:t>®</w:t>
      </w:r>
      <w:r>
        <w:rPr>
          <w:rFonts w:ascii="Arial" w:cs="Arial" w:eastAsia="Arial" w:hAnsi="Arial"/>
          <w:sz w:val="16"/>
          <w:szCs w:val="16"/>
          <w:color w:val="auto"/>
        </w:rPr>
        <w:t xml:space="preserve"> net sales to BMS in any territory where the Company commercializes HETLIOZ</w:t>
      </w:r>
      <w:r>
        <w:rPr>
          <w:rFonts w:ascii="Arial" w:cs="Arial" w:eastAsia="Arial" w:hAnsi="Arial"/>
          <w:sz w:val="19"/>
          <w:szCs w:val="19"/>
          <w:color w:val="auto"/>
          <w:vertAlign w:val="superscript"/>
        </w:rPr>
        <w:t>®</w:t>
      </w:r>
      <w:r>
        <w:rPr>
          <w:rFonts w:ascii="Arial" w:cs="Arial" w:eastAsia="Arial" w:hAnsi="Arial"/>
          <w:sz w:val="16"/>
          <w:szCs w:val="16"/>
          <w:color w:val="auto"/>
        </w:rPr>
        <w:t xml:space="preserve"> for a period equal to the greater of 10 years following the first commercial sale in the territory or the expiry of the new chemical entity (NCE) patent in that territory. During the period prior to the expiry of the NCE patent in a territory, the Company is obligated to pay a 10% royalty on net sales in that territory. The royalty rate is decreased by half for countries in which no NCE patent existed or for the remainder of the 10 years after the expiry of the NCE patent. The Company is also obligated under the license agreement to pay BMS a percentage of any sublicense fees, upfront payments and milestone and other payments (excluding royalties) that it receives from a third party in connection with any sublicensing arrangement, at a rate which is in the mid-twenties. The Company has agreed with BMS in the license agreement for HETLIOZ</w:t>
      </w:r>
      <w:r>
        <w:rPr>
          <w:rFonts w:ascii="Arial" w:cs="Arial" w:eastAsia="Arial" w:hAnsi="Arial"/>
          <w:sz w:val="19"/>
          <w:szCs w:val="19"/>
          <w:color w:val="auto"/>
          <w:vertAlign w:val="superscript"/>
        </w:rPr>
        <w:t>®</w:t>
      </w:r>
      <w:r>
        <w:rPr>
          <w:rFonts w:ascii="Arial" w:cs="Arial" w:eastAsia="Arial" w:hAnsi="Arial"/>
          <w:sz w:val="16"/>
          <w:szCs w:val="16"/>
          <w:color w:val="auto"/>
        </w:rPr>
        <w:t xml:space="preserve"> to use its commercially reasonable efforts to develop and commercialize HETLIOZ</w:t>
      </w:r>
      <w:r>
        <w:rPr>
          <w:rFonts w:ascii="Arial" w:cs="Arial" w:eastAsia="Arial" w:hAnsi="Arial"/>
          <w:sz w:val="19"/>
          <w:szCs w:val="19"/>
          <w:color w:val="auto"/>
          <w:vertAlign w:val="superscript"/>
        </w:rPr>
        <w:t>®</w:t>
      </w:r>
      <w:r>
        <w:rPr>
          <w:rFonts w:ascii="Arial" w:cs="Arial" w:eastAsia="Arial" w:hAnsi="Arial"/>
          <w:sz w:val="16"/>
          <w:szCs w:val="16"/>
          <w:color w:val="auto"/>
        </w:rPr>
        <w:t>.</w:t>
      </w:r>
    </w:p>
    <w:p>
      <w:pPr>
        <w:spacing w:after="0" w:line="131"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i w:val="1"/>
          <w:iCs w:val="1"/>
          <w:color w:val="auto"/>
        </w:rPr>
        <w:t>Fanapt</w:t>
      </w:r>
      <w:r>
        <w:rPr>
          <w:rFonts w:ascii="Arial" w:cs="Arial" w:eastAsia="Arial" w:hAnsi="Arial"/>
          <w:sz w:val="21"/>
          <w:szCs w:val="2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terms of a settlement agreement with Novartis, Novartis transferred all U.S. and Canadian rights in the</w:t>
      </w:r>
      <w:r>
        <w:rPr>
          <w:rFonts w:ascii="Arial" w:cs="Arial" w:eastAsia="Arial" w:hAnsi="Arial"/>
          <w:sz w:val="18"/>
          <w:szCs w:val="18"/>
          <w:i w:val="1"/>
          <w:iCs w:val="1"/>
          <w:color w:val="auto"/>
        </w:rPr>
        <w:t xml:space="preserve"> Fanapt</w:t>
      </w:r>
      <w:r>
        <w:rPr>
          <w:rFonts w:ascii="Arial" w:cs="Arial" w:eastAsia="Arial" w:hAnsi="Arial"/>
          <w:sz w:val="21"/>
          <w:szCs w:val="2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franchise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on December 31, 2014. The Company pays directly to Sanofi S.A (Sanofi) a fixed royalty of 3% of net sales through December 31, 2019 related to manufacturing know-how. No further royalties on manufacturing know-how will be payable by the Company after December 31, 2019. The Company is also obligated to pay Sanofi a fixed royalty on Fanapt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sales equal up to 6% on Sanofi know-how not related to manufacturing under certain conditions for a period of up to 10 years in markets where the NCE patent has expired or was not issued. The Company is obligated to pay this 6% royalty on net sales in the U.S. through November 2026. No further royalties on know-how not related to manufacturing will be payable by the Company for net sales in the U.S. after November 2026.</w:t>
      </w:r>
    </w:p>
    <w:p>
      <w:pPr>
        <w:spacing w:after="0" w:line="20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Tradipitant. </w:t>
      </w:r>
      <w:r>
        <w:rPr>
          <w:rFonts w:ascii="Arial" w:cs="Arial" w:eastAsia="Arial" w:hAnsi="Arial"/>
          <w:sz w:val="16"/>
          <w:szCs w:val="16"/>
          <w:color w:val="auto"/>
        </w:rPr>
        <w:t>In April 2012, the Company entered into a license agreement with Eli Lilly and Company (Lilly) pursuant to which the Company acquired an</w:t>
      </w:r>
      <w:r>
        <w:rPr>
          <w:rFonts w:ascii="Arial" w:cs="Arial" w:eastAsia="Arial" w:hAnsi="Arial"/>
          <w:sz w:val="16"/>
          <w:szCs w:val="16"/>
          <w:i w:val="1"/>
          <w:iCs w:val="1"/>
          <w:color w:val="auto"/>
        </w:rPr>
        <w:t xml:space="preserve"> </w:t>
      </w:r>
      <w:r>
        <w:rPr>
          <w:rFonts w:ascii="Arial" w:cs="Arial" w:eastAsia="Arial" w:hAnsi="Arial"/>
          <w:sz w:val="16"/>
          <w:szCs w:val="16"/>
          <w:color w:val="auto"/>
        </w:rPr>
        <w:t>exclusive worldwide license under certain patents and patent applications, and other licenses to intellectual property, to develop and commercialize an NK-1R antagonist, tradipitant, for all human indications. The patent describing tradipitant as a NCE expires in April 2023, except in the U.S., where it expires in June 2024 absent any applicable patent term adjustments. Lilly is eligible to receive future payments based upon achievement of specified development and commercialization milestones as well as tiered-royalties on net sales at percentage rates up to the low double digits. As of June 30, 2019, remaining milestone obligations include a $2.0 million pre-NDA approval milestone due upon the filing of the first marketing authorization for tradipitant in either the U.S. or the E.U, $10.0 million and $5.0 million for the first approval of a marketing authorization for tradipitant in the U.S. and European Union, respectively, and up to $80.0 million for sales milestones. In the third quarter of 2018, the Company also made a $2.0 million milestone payment to Lilly as a result of enrolling the first subject into a Phase III study for tradipitant in July 2018. The likelihood of achieving this milestone was determined to be probable during 2017 and the obligation of $2.0 million tied to such milestone was recorded as research and development expense in the consolidated statement of operations during the year ended December 31, 2017. The Company is obligated to use its commercially reasonable efforts to develop and commercialize tradipitant.</w:t>
      </w:r>
    </w:p>
    <w:p>
      <w:pPr>
        <w:spacing w:after="0" w:line="17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i w:val="1"/>
          <w:iCs w:val="1"/>
          <w:color w:val="auto"/>
        </w:rPr>
        <w:t xml:space="preserve">VQW-765. </w:t>
      </w:r>
      <w:r>
        <w:rPr>
          <w:rFonts w:ascii="Arial" w:cs="Arial" w:eastAsia="Arial" w:hAnsi="Arial"/>
          <w:sz w:val="18"/>
          <w:szCs w:val="18"/>
          <w:color w:val="auto"/>
        </w:rPr>
        <w:t>In connection with a settlement agreement with Novartis relating to Fanapt</w:t>
      </w:r>
      <w:r>
        <w:rPr>
          <w:rFonts w:ascii="Arial" w:cs="Arial" w:eastAsia="Arial" w:hAnsi="Arial"/>
          <w:sz w:val="21"/>
          <w:szCs w:val="21"/>
          <w:color w:val="auto"/>
          <w:vertAlign w:val="superscript"/>
        </w:rPr>
        <w:t>®</w:t>
      </w:r>
      <w:r>
        <w:rPr>
          <w:rFonts w:ascii="Arial" w:cs="Arial" w:eastAsia="Arial" w:hAnsi="Arial"/>
          <w:sz w:val="18"/>
          <w:szCs w:val="18"/>
          <w:color w:val="auto"/>
        </w:rPr>
        <w:t>, the Company received an exclusive worldwide license under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patents and patent applications, and other licenses to intellectual property, to develop and commercialize VQW-765, a Phase II alpha-7 nicotinic acetylcholine receptor partial agonist. Pursuant to the license agreement, the Company is obligated to use its commercially reasonable efforts to develop and commercialize VQW-765 and is responsible for all development costs. The Company has no milestone obligations; however, Novartis is eligible to receive tiered-royalties on net sales at percentage rates up to the mid-teens.</w:t>
      </w:r>
    </w:p>
    <w:p>
      <w:pPr>
        <w:spacing w:after="0" w:line="19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Portfolio of CFTR activators and inhibitors</w:t>
      </w:r>
      <w:r>
        <w:rPr>
          <w:rFonts w:ascii="Arial" w:cs="Arial" w:eastAsia="Arial" w:hAnsi="Arial"/>
          <w:sz w:val="18"/>
          <w:szCs w:val="18"/>
          <w:color w:val="auto"/>
        </w:rPr>
        <w:t>. In March 2017, the Company entered into a license agreement with the University of California San Francisco</w:t>
      </w:r>
      <w:r>
        <w:rPr>
          <w:rFonts w:ascii="Arial" w:cs="Arial" w:eastAsia="Arial" w:hAnsi="Arial"/>
          <w:sz w:val="18"/>
          <w:szCs w:val="18"/>
          <w:i w:val="1"/>
          <w:iCs w:val="1"/>
          <w:color w:val="auto"/>
        </w:rPr>
        <w:t xml:space="preserve"> </w:t>
      </w:r>
      <w:r>
        <w:rPr>
          <w:rFonts w:ascii="Arial" w:cs="Arial" w:eastAsia="Arial" w:hAnsi="Arial"/>
          <w:sz w:val="18"/>
          <w:szCs w:val="18"/>
          <w:color w:val="auto"/>
        </w:rPr>
        <w:t>(UCSF), under which the Company acquired an exclusive worldwide license to develop and commercialize a portfolio of CFTR activators and inhibitors. Pursuant to the license agreement, the Company will develop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18" w:right="2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commercialize the CFTR activators and inhibitors and is responsible for all development costs under the license agreement, including current pre-investigational new drug development work. UCSF is eligible to receive future payments based upon achievement of specified development and commercialization milestones as well as single-digit royalties on net sales. As of June 30, 2019, remaining milestone obligations include annual maintenance fees, $12.2 million for pre-NDA approval milestones and $33.0 million for future regulatory approval and sales milestones. Included in the $12.2 million in pre-NDA approval milestones is a $350,000 milestone due upon the conclusion of a Phase I study for each licensed product but not to exceed $1.1 million in total for the CFTR portfolio. In the first quarter of 2019, the Company also made a $0.2 million pre-NDA approval milestone payment to UCSF, which was determined to be probable and accrued as a current liability in the fourth quarter of 2018. Additionally, the Company paid an initial license fee of $1.0 million in 2017.</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the course of its business, the Company regularly enters into agreements with clinical organizations to provide services relating to clinical development and clinical manufacturing activities under fee service arrangements. The Company’s current agreements for clinical and marketing services may be terminated on generally 90 days’ notice without incurring additional charges, other than charges for work completed but not paid for through the effective date of termination and other costs incurred by the Company’s contractors in closing out work in progress as of the effective date of termination. Purchase commitments included in the noncancellable long-term contractual cash obligations table above include noncancellable purchase commitments longer than one year and primarily relate to commitments for advertising and data services.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Public Offering of Common Stock</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March 2018, the Company completed a public offering of 6,325,000 shares of its common stock, including the exercise of the underwriters’ option to purchase an additional 825,000 shares of common stock, at a price to the public of $17.00 per share. Net cash proceeds from the public offering were $100.9 million after deducting the underwriting discounts and commissions and offering expenses.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accumulated balances related to each component of other comprehensive income (loss) were as follows as of June 30, 2019 and December 31, 2018:</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31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Unrealized gain (loss) on marketable securities</w:t>
            </w:r>
          </w:p>
        </w:tc>
        <w:tc>
          <w:tcPr>
            <w:tcW w:w="11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There was no tax provision (benefit) included in accumulated other comprehensive income as of June 30, 2019 and December 31, 2018. There were no reclassifications out of accumulated other comprehensive income for either of the six months ended June 30, 2019 or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June 30, 2019, there were 6,167,166 shares that were subject to outstanding options and restricted stock units (RSUs) under the 2006 Equity Incentive Plan (2006 Plan) and the Amended and Restated 2016 Equity Incentive Plan (2016 Plan, and together with the 2006 Plan, Plans). The 2006 Plan expired by its terms in April 2016, and the Company adopted the 2016 Plan. Outstanding options and RSUs under the 2006 Plan remain in effect and the terms of the 2006 Plan continue to apply, but no additional awards can be granted under the 2006 Plan. In June 2016, the Company’s stockholders approved the 2016 Plan. The 2016 Plan has been amended and restated twice to increase the number of shares reserved for issuance, among other administrative changes. Both amendments and restatements of the 2016 Plan were approved by the Company's stockholders. There are a total of 7,100,000 shares of common stock reserved for issuance under the 2016 Plan, 3,304,262 shares of which remained available for future grant as of June 30,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has granted option awards under the Plans with service conditions (service option awards) that are subject to terms and conditions established by the compensation committee of the Company's board of directors. Service option awards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have 10 year contractual terms. Service option awards granted to employees and new directors upon their election vest and become exercisable on the first anniversary of the grant date with respect to 25% of the shares subject to service option awards. The remaining 75% of the shares subject to the service option awards vest and become exercisable monthly in equal installments thereafter over three years. Subsequent annual service option awards granted to directors vest and become exercisable in either equal monthly installments over a period of one year or on the first anniversary of the grant date. Certain service option awards to executives and directors provide for accelerated vesting if there is a change in control of the Company. Certain service option awards to employees and executives provide for accelerated vesting if the respective employee’s or executive’s service is terminated by the Company for any reason other than cause or permanent disability.</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of June 30, 2019, $10.7 million of unrecognized compensation costs related to unvested service option awards are expected to be recognized over a weighted average period of 1.5 years. No option awards are classified as a liability as of June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option activity under the Plans for the six months ended June 30, 2019 follows: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2006 and 2016 Plans</w:t>
            </w:r>
          </w:p>
        </w:tc>
        <w:tc>
          <w:tcPr>
            <w:tcW w:w="16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300" w:type="dxa"/>
            <w:vAlign w:val="bottom"/>
          </w:tcPr>
          <w:p>
            <w:pPr>
              <w:spacing w:after="0"/>
              <w:rPr>
                <w:sz w:val="14"/>
                <w:szCs w:val="14"/>
                <w:color w:val="auto"/>
              </w:rPr>
            </w:pPr>
          </w:p>
        </w:tc>
        <w:tc>
          <w:tcPr>
            <w:tcW w:w="1300" w:type="dxa"/>
            <w:vAlign w:val="bottom"/>
          </w:tcPr>
          <w:p>
            <w:pPr>
              <w:jc w:val="center"/>
              <w:ind w:right="21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Exercise Price at</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 Term</w:t>
            </w:r>
          </w:p>
        </w:tc>
        <w:tc>
          <w:tcPr>
            <w:tcW w:w="300" w:type="dxa"/>
            <w:vAlign w:val="bottom"/>
          </w:tcPr>
          <w:p>
            <w:pPr>
              <w:spacing w:after="0"/>
              <w:rPr>
                <w:sz w:val="12"/>
                <w:szCs w:val="12"/>
                <w:color w:val="auto"/>
              </w:rPr>
            </w:pPr>
          </w:p>
        </w:tc>
        <w:tc>
          <w:tcPr>
            <w:tcW w:w="130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 except for share and per share amounts)</w:t>
            </w:r>
          </w:p>
        </w:tc>
        <w:tc>
          <w:tcPr>
            <w:tcW w:w="16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4"/>
              </w:rPr>
              <w:t>Grant Date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2018</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4,369,042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65,438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502,500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spacing w:after="0"/>
              <w:rPr>
                <w:sz w:val="20"/>
                <w:szCs w:val="20"/>
                <w:color w:val="auto"/>
              </w:rPr>
            </w:pPr>
            <w:r>
              <w:rPr>
                <w:rFonts w:ascii="Arial" w:cs="Arial" w:eastAsia="Arial" w:hAnsi="Arial"/>
                <w:sz w:val="18"/>
                <w:szCs w:val="18"/>
                <w:color w:val="auto"/>
              </w:rPr>
              <w:t>(291,451)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2019</w:t>
            </w:r>
          </w:p>
        </w:tc>
        <w:tc>
          <w:tcPr>
            <w:tcW w:w="1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4,580,091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15,136</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Exercisable at June 30, 2019</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00" w:type="dxa"/>
            <w:vAlign w:val="bottom"/>
            <w:tcBorders>
              <w:bottom w:val="single" w:sz="8" w:color="CCEEFF"/>
            </w:tcBorders>
            <w:vMerge w:val="continue"/>
          </w:tcPr>
          <w:p>
            <w:pPr>
              <w:spacing w:after="0"/>
              <w:rPr>
                <w:sz w:val="24"/>
                <w:szCs w:val="24"/>
                <w:color w:val="auto"/>
              </w:rPr>
            </w:pPr>
          </w:p>
        </w:tc>
        <w:tc>
          <w:tcPr>
            <w:tcW w:w="1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3,433,142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jc w:val="right"/>
              <w:ind w:right="35"/>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14,626</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Vested and expected to vest at June 30, 2019</w:t>
            </w:r>
          </w:p>
        </w:tc>
        <w:tc>
          <w:tcPr>
            <w:tcW w:w="1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4,371,265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15,131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The weighted average grant-date fair value of options granted was $11.16 and $10.40 per share for the six months ended June 30, 2019 and 2018, respectively. Proceeds from the exercise of stock options amounted to $3.6 million and $5.4 million for the six months ended June 30, 2019 and 2018,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 RSU is a stock award that entitles the holder to receive shares of the Company’s common stock as the award vests. The fair value of each RSU is based on the closing price of the Company’s stock on the date of grant. The Company has granted RSUs under the Plans with service conditions (service RSUs) that generally vest over 4 years in equal annual installments provided that the employee remains employed with the Company. Annual service RSUs granted to directors vest on the first anniversary of the grant date.</w:t>
      </w:r>
    </w:p>
    <w:p>
      <w:pPr>
        <w:spacing w:after="0" w:line="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June 30, 2019, $26.4 million of unrecognized compensation costs related to unvested service RSUs are expected to be recognized over a weighted average period of 1.97 years. No RSUs are classified as a liability as of June 30,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activity under the Plans for the six months ended June 30, 2019 follows: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center"/>
              <w:ind w:right="215"/>
              <w:spacing w:after="0"/>
              <w:rPr>
                <w:sz w:val="20"/>
                <w:szCs w:val="20"/>
                <w:color w:val="auto"/>
              </w:rPr>
            </w:pPr>
            <w:r>
              <w:rPr>
                <w:rFonts w:ascii="Arial" w:cs="Arial" w:eastAsia="Arial" w:hAnsi="Arial"/>
                <w:sz w:val="14"/>
                <w:szCs w:val="14"/>
                <w:b w:val="1"/>
                <w:bCs w:val="1"/>
                <w:color w:val="auto"/>
                <w:w w:val="91"/>
              </w:rPr>
              <w:t>Weighted</w:t>
            </w:r>
          </w:p>
        </w:tc>
      </w:tr>
      <w:tr>
        <w:trPr>
          <w:trHeight w:val="157"/>
        </w:trPr>
        <w:tc>
          <w:tcPr>
            <w:tcW w:w="8120" w:type="dxa"/>
            <w:vAlign w:val="bottom"/>
          </w:tcPr>
          <w:p>
            <w:pPr>
              <w:spacing w:after="0"/>
              <w:rPr>
                <w:sz w:val="13"/>
                <w:szCs w:val="13"/>
                <w:color w:val="auto"/>
              </w:rPr>
            </w:pPr>
          </w:p>
        </w:tc>
        <w:tc>
          <w:tcPr>
            <w:tcW w:w="16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jc w:val="center"/>
              <w:ind w:right="215"/>
              <w:spacing w:after="0" w:line="157" w:lineRule="exact"/>
              <w:rPr>
                <w:sz w:val="20"/>
                <w:szCs w:val="20"/>
                <w:color w:val="auto"/>
              </w:rPr>
            </w:pPr>
            <w:r>
              <w:rPr>
                <w:rFonts w:ascii="Arial" w:cs="Arial" w:eastAsia="Arial" w:hAnsi="Arial"/>
                <w:sz w:val="14"/>
                <w:szCs w:val="14"/>
                <w:b w:val="1"/>
                <w:bCs w:val="1"/>
                <w:color w:val="auto"/>
                <w:w w:val="90"/>
              </w:rPr>
              <w:t>Average</w:t>
            </w:r>
          </w:p>
        </w:tc>
      </w:tr>
      <w:tr>
        <w:trPr>
          <w:trHeight w:val="21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2006 and 2016 Plans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 xml:space="preserve">Underlying </w:t>
            </w:r>
            <w:r>
              <w:rPr>
                <w:rFonts w:ascii="Arial" w:cs="Arial" w:eastAsia="Arial" w:hAnsi="Arial"/>
                <w:sz w:val="16"/>
                <w:szCs w:val="16"/>
                <w:b w:val="1"/>
                <w:bCs w:val="1"/>
                <w:color w:val="auto"/>
                <w:w w:val="93"/>
              </w:rPr>
              <w:t>RSUs</w:t>
            </w:r>
          </w:p>
        </w:tc>
        <w:tc>
          <w:tcPr>
            <w:tcW w:w="10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 xml:space="preserve">Grant Date </w:t>
            </w:r>
            <w:r>
              <w:rPr>
                <w:rFonts w:ascii="Arial" w:cs="Arial" w:eastAsia="Arial" w:hAnsi="Arial"/>
                <w:sz w:val="16"/>
                <w:szCs w:val="16"/>
                <w:b w:val="1"/>
                <w:bCs w:val="1"/>
                <w:color w:val="auto"/>
                <w:w w:val="96"/>
              </w:rPr>
              <w:t>Fair Value</w:t>
            </w:r>
          </w:p>
        </w:tc>
      </w:tr>
      <w:tr>
        <w:trPr>
          <w:trHeight w:val="33"/>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at December 31, 2018</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1,313,576</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15.68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807,328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20.40</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18.68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Pr>
          <w:p>
            <w:pPr>
              <w:jc w:val="right"/>
              <w:spacing w:after="0"/>
              <w:rPr>
                <w:sz w:val="20"/>
                <w:szCs w:val="20"/>
                <w:color w:val="auto"/>
              </w:rPr>
            </w:pPr>
            <w:r>
              <w:rPr>
                <w:rFonts w:ascii="Arial" w:cs="Arial" w:eastAsia="Arial" w:hAnsi="Arial"/>
                <w:sz w:val="18"/>
                <w:szCs w:val="18"/>
                <w:color w:val="auto"/>
              </w:rPr>
              <w:t>(495,740)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14.34</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at June 30, 2019</w:t>
            </w:r>
          </w:p>
        </w:tc>
        <w:tc>
          <w:tcPr>
            <w:tcW w:w="1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1,587,075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18.42</w:t>
            </w: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grant date fair value for the 495,740 shares underlying RSUs that vested during the six months ended June 30, 2019 was $7.1 million.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recognized for the three and six months ended June 30, 2019 and 2018 was comprised of the following:</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Six Months Ended</w:t>
            </w:r>
          </w:p>
        </w:tc>
        <w:tc>
          <w:tcPr>
            <w:tcW w:w="540" w:type="dxa"/>
            <w:vAlign w:val="bottom"/>
            <w:tcBorders>
              <w:bottom w:val="single" w:sz="8" w:color="auto"/>
            </w:tcBorders>
          </w:tcPr>
          <w:p>
            <w:pPr>
              <w:spacing w:after="0"/>
              <w:rPr>
                <w:sz w:val="16"/>
                <w:szCs w:val="16"/>
                <w:color w:val="auto"/>
              </w:rPr>
            </w:pPr>
          </w:p>
        </w:tc>
      </w:tr>
      <w:tr>
        <w:trPr>
          <w:trHeight w:val="152"/>
        </w:trPr>
        <w:tc>
          <w:tcPr>
            <w:tcW w:w="470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3"/>
                <w:szCs w:val="13"/>
                <w:color w:val="auto"/>
              </w:rPr>
            </w:pPr>
          </w:p>
        </w:tc>
      </w:t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2,345</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2,405</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4,899</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5,235</w:t>
            </w:r>
          </w:p>
        </w:tc>
      </w:tr>
      <w:tr>
        <w:trPr>
          <w:trHeight w:val="27"/>
        </w:trPr>
        <w:tc>
          <w:tcPr>
            <w:tcW w:w="47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3,101</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2,721</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6,383</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5,872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fair value of each option award is estimated on the date of grant using the Black-Scholes-Merton option pricing model that uses the assumptions noted in the following table. Expected volatility rates are based on the historical volatility of the Company’s publicly traded common stock and other factors. The risk-free interest rates are based on the U.S. Treasury yield for a period consistent with the expected term of the option in effect at the time of the grant. The Company has not paid dividends to its stockholders since its inception (other than a dividend of preferred share purchase rights, which was declared in September 2008) and does not plan to pay dividends in the foreseeable future. Assumptions used in the Black-Scholes-Merton option pricing model for stock options granted during the six months ended June 30, 2019 and 2018 were as follows:</w:t>
      </w:r>
    </w:p>
    <w:p>
      <w:pPr>
        <w:spacing w:after="0" w:line="373"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23495</wp:posOffset>
            </wp:positionV>
            <wp:extent cx="21780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120" w:type="dxa"/>
            <w:vAlign w:val="bottom"/>
          </w:tcPr>
          <w:p>
            <w:pPr>
              <w:ind w:left="560"/>
              <w:spacing w:after="0"/>
              <w:rPr>
                <w:sz w:val="20"/>
                <w:szCs w:val="20"/>
                <w:color w:val="auto"/>
              </w:rPr>
            </w:pPr>
            <w:r>
              <w:rPr>
                <w:rFonts w:ascii="Arial" w:cs="Arial" w:eastAsia="Arial" w:hAnsi="Arial"/>
                <w:sz w:val="14"/>
                <w:szCs w:val="14"/>
                <w:b w:val="1"/>
                <w:bCs w:val="1"/>
                <w:color w:val="auto"/>
                <w:w w:val="96"/>
              </w:rPr>
              <w:t>June 30,</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right"/>
              <w:ind w:right="516"/>
              <w:spacing w:after="0"/>
              <w:rPr>
                <w:sz w:val="20"/>
                <w:szCs w:val="20"/>
                <w:color w:val="auto"/>
              </w:rPr>
            </w:pPr>
            <w:r>
              <w:rPr>
                <w:rFonts w:ascii="Arial" w:cs="Arial" w:eastAsia="Arial" w:hAnsi="Arial"/>
                <w:sz w:val="14"/>
                <w:szCs w:val="14"/>
                <w:b w:val="1"/>
                <w:bCs w:val="1"/>
                <w:color w:val="auto"/>
              </w:rPr>
              <w:t>June 30,</w:t>
            </w:r>
          </w:p>
        </w:tc>
      </w:tr>
      <w:tr>
        <w:trPr>
          <w:trHeight w:val="192"/>
        </w:trPr>
        <w:tc>
          <w:tcPr>
            <w:tcW w:w="9100" w:type="dxa"/>
            <w:vAlign w:val="bottom"/>
            <w:gridSpan w:val="2"/>
          </w:tcPr>
          <w:p>
            <w:pPr>
              <w:ind w:left="8680"/>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596"/>
              <w:spacing w:after="0"/>
              <w:rPr>
                <w:sz w:val="20"/>
                <w:szCs w:val="20"/>
                <w:color w:val="auto"/>
              </w:rPr>
            </w:pPr>
            <w:r>
              <w:rPr>
                <w:rFonts w:ascii="Arial" w:cs="Arial" w:eastAsia="Arial" w:hAnsi="Arial"/>
                <w:sz w:val="14"/>
                <w:szCs w:val="14"/>
                <w:b w:val="1"/>
                <w:bCs w:val="1"/>
                <w:color w:val="auto"/>
              </w:rPr>
              <w:t>2018</w:t>
            </w:r>
          </w:p>
        </w:tc>
      </w:tr>
      <w:tr>
        <w:trPr>
          <w:trHeight w:val="250"/>
        </w:trPr>
        <w:tc>
          <w:tcPr>
            <w:tcW w:w="7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9100" w:type="dxa"/>
            <w:vAlign w:val="bottom"/>
            <w:gridSpan w:val="2"/>
          </w:tcPr>
          <w:p>
            <w:pPr>
              <w:ind w:left="40"/>
              <w:spacing w:after="0"/>
              <w:rPr>
                <w:sz w:val="20"/>
                <w:szCs w:val="20"/>
                <w:color w:val="auto"/>
              </w:rPr>
            </w:pPr>
            <w:r>
              <w:rPr>
                <w:rFonts w:ascii="Arial" w:cs="Arial" w:eastAsia="Arial" w:hAnsi="Arial"/>
                <w:sz w:val="18"/>
                <w:szCs w:val="18"/>
                <w:color w:val="auto"/>
              </w:rPr>
              <w:t>Weighted average expected volatility</w:t>
            </w: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7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expected term (years)</w:t>
            </w:r>
          </w:p>
        </w:tc>
        <w:tc>
          <w:tcPr>
            <w:tcW w:w="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6"/>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5.90</w:t>
            </w:r>
          </w:p>
        </w:tc>
      </w:tr>
      <w:tr>
        <w:trPr>
          <w:trHeight w:val="243"/>
        </w:trPr>
        <w:tc>
          <w:tcPr>
            <w:tcW w:w="9100" w:type="dxa"/>
            <w:vAlign w:val="bottom"/>
            <w:gridSpan w:val="2"/>
          </w:tcPr>
          <w:p>
            <w:pPr>
              <w:ind w:left="40"/>
              <w:spacing w:after="0"/>
              <w:rPr>
                <w:sz w:val="20"/>
                <w:szCs w:val="20"/>
                <w:color w:val="auto"/>
              </w:rPr>
            </w:pPr>
            <w:r>
              <w:rPr>
                <w:rFonts w:ascii="Arial" w:cs="Arial" w:eastAsia="Arial" w:hAnsi="Arial"/>
                <w:sz w:val="18"/>
                <w:szCs w:val="18"/>
                <w:color w:val="auto"/>
              </w:rPr>
              <w:t>Weighted average risk-free rate</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2.48%</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2.66%</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assesses the need for a valuation allowance against its deferred tax asset each quarter through the review of all available positive and negative evidence. Deferred tax assets are reduced by a tax valuation allowance when, in the opinion of management, it is more likely than not that some portion or all of the deferred tax assets will not be realized. Except for year-to-date 2019 and 2018 income, the Company has historically generated pretax losses in the U.S., both cumulatively and individually. The losses serve as strong evidence that it is more likely than not that deferred tax assets in the U.S. will not be realized in the future, and as a result of the losses and all other available positive and negative evidence the Company concluded that a full tax valuation allowance was required against all net deferred tax assets in the U.S. as of June 30, 2019 and December 31, 2018. If the Company begins to regularly generate pretax income, it is reasonably possible that the conclusion about the need for the valuation allowance could change in the near term. A reduction of the valuation allowance, in whole or in part, would result in a non-cash income tax benefit during the period of reduction. The potential timing and amount of any future valuation allowance release has yet to be determined and requires an analysis that is highly dependent upon historical and future projected earnings, among other factors. Any such adjustment could have a material impact on the Company’s finance position and results of operations.</w:t>
      </w:r>
    </w:p>
    <w:p>
      <w:pPr>
        <w:spacing w:after="0" w:line="16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a result of the tax valuation allowance against deferred tax assets in the U.S., there was no expense for federal income taxes associated with the income before income taxes for three and six months ended June 30, 2019 and 2018. Taxes have been recorded related to certain U.S. state jurisdictions and non-U.S. income for the three and six months ended June 30, 2019 and 2018.</w:t>
      </w:r>
    </w:p>
    <w:p>
      <w:pPr>
        <w:spacing w:after="0" w:line="18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Certain tax attributes of the Company, including net operating losses (NOLs) and credits, would be subject to a limitation should an ownership change as defined under the Internal Revenue Code of 1986, as amended (IRC), Section 382, occur. The limitations resulting from a change in ownership could affect the Company’s ability to utilize its NOLs and credit carryforward (tax attributes). Ownership changes occurred in the years ended December 31, 2014 and December 31, 2008. The Company believes that the ownership changes in 2014 and 2008 will not impact its ability to utilize NOL and credit carryforwards; however, future ownership changes may cause the Company’s existing tax attributes to have additional limitations. Because the Company maintains a valuation allowance on its U.S. tax attributes, any limitation as a result of application of IRC Section 382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limitation would not have a material impact on the Company’s provision for income taxes for the three and six months ended June 30, 2019.</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Tax Cuts and Jobs Act (TCJA) was enacted in December 2017. During the fourth quarter of 2018, the Company completed its accounting for the tax effects of the TCJA. No material measurement period adjustments were recorded in 2018 to adjust estimated effects of the Act that were recorded in 2017. Immaterial measurement period adjustments that were recorded resulted in no tax expense as they were fully offset by a change in the Company's valuation allowance.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Basic earnings per share (EPS) is calculated by dividing the net income by the weighted average number of shares of common stock outstanding. Diluted EPS is computed by dividing the net income by the weighted average number of shares of common stock outstanding, plus potential outstanding common stock for the period. Potential outstanding common stock includes stock options and shares underlying RSUs, but only to the extent that their inclusion is dilutive.</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presents the calculation of basic and diluted net income per share of common stock for the three and six months ended June 30, 2019 and 2018:</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 except for share and per share amounts)</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11,526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4,611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10,914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7,677</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Weighted average shares outstanding, basic</w:t>
            </w:r>
          </w:p>
        </w:tc>
        <w:tc>
          <w:tcPr>
            <w:tcW w:w="32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53,101,499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52,172,982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52,928,101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49,270,829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1,478,483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1,772,658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2,004,831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1,830,635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Weighted average shares outstanding, diluted</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54,579,982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53,945,640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54,932,932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51,101,464</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per share, basic and diluted:</w:t>
            </w: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4"/>
              </w:rPr>
              <w:t>Antidilutive securities excluded from calculations of diluted net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vMerge w:val="restart"/>
          </w:tcPr>
          <w:p>
            <w:pPr>
              <w:jc w:val="right"/>
              <w:ind w:right="35"/>
              <w:spacing w:after="0"/>
              <w:rPr>
                <w:sz w:val="20"/>
                <w:szCs w:val="20"/>
                <w:color w:val="auto"/>
              </w:rPr>
            </w:pPr>
            <w:r>
              <w:rPr>
                <w:rFonts w:ascii="Arial" w:cs="Arial" w:eastAsia="Arial" w:hAnsi="Arial"/>
                <w:sz w:val="18"/>
                <w:szCs w:val="18"/>
                <w:color w:val="auto"/>
              </w:rPr>
              <w:t>2,294,277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vMerge w:val="restart"/>
          </w:tcPr>
          <w:p>
            <w:pPr>
              <w:jc w:val="right"/>
              <w:ind w:right="34"/>
              <w:spacing w:after="0"/>
              <w:rPr>
                <w:sz w:val="20"/>
                <w:szCs w:val="20"/>
                <w:color w:val="auto"/>
              </w:rPr>
            </w:pPr>
            <w:r>
              <w:rPr>
                <w:rFonts w:ascii="Arial" w:cs="Arial" w:eastAsia="Arial" w:hAnsi="Arial"/>
                <w:sz w:val="18"/>
                <w:szCs w:val="18"/>
                <w:color w:val="auto"/>
              </w:rPr>
              <w:t>1,364,535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vMerge w:val="restart"/>
          </w:tcPr>
          <w:p>
            <w:pPr>
              <w:jc w:val="right"/>
              <w:ind w:right="15"/>
              <w:spacing w:after="0"/>
              <w:rPr>
                <w:sz w:val="20"/>
                <w:szCs w:val="20"/>
                <w:color w:val="auto"/>
              </w:rPr>
            </w:pPr>
            <w:r>
              <w:rPr>
                <w:rFonts w:ascii="Arial" w:cs="Arial" w:eastAsia="Arial" w:hAnsi="Arial"/>
                <w:sz w:val="18"/>
                <w:szCs w:val="18"/>
                <w:color w:val="auto"/>
              </w:rPr>
              <w:t>1,415,953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vMerge w:val="restart"/>
          </w:tcPr>
          <w:p>
            <w:pPr>
              <w:jc w:val="right"/>
              <w:ind w:right="14"/>
              <w:spacing w:after="0"/>
              <w:rPr>
                <w:sz w:val="20"/>
                <w:szCs w:val="20"/>
                <w:color w:val="auto"/>
              </w:rPr>
            </w:pPr>
            <w:r>
              <w:rPr>
                <w:rFonts w:ascii="Arial" w:cs="Arial" w:eastAsia="Arial" w:hAnsi="Arial"/>
                <w:sz w:val="18"/>
                <w:szCs w:val="18"/>
                <w:color w:val="auto"/>
              </w:rPr>
              <w:t>1,210,990</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8"/>
                <w:szCs w:val="18"/>
                <w:color w:val="auto"/>
              </w:rPr>
              <w:t>income per share</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Legal Matters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7"/>
          <w:szCs w:val="17"/>
          <w:i w:val="1"/>
          <w:iCs w:val="1"/>
          <w:color w:val="auto"/>
        </w:rPr>
        <w:t>Fanapt</w:t>
      </w:r>
      <w:r>
        <w:rPr>
          <w:rFonts w:ascii="Arial" w:cs="Arial" w:eastAsia="Arial" w:hAnsi="Arial"/>
          <w:sz w:val="20"/>
          <w:szCs w:val="20"/>
          <w:i w:val="1"/>
          <w:iCs w:val="1"/>
          <w:color w:val="auto"/>
          <w:vertAlign w:val="superscript"/>
        </w:rPr>
        <w:t>®</w:t>
      </w:r>
      <w:r>
        <w:rPr>
          <w:rFonts w:ascii="Arial" w:cs="Arial" w:eastAsia="Arial" w:hAnsi="Arial"/>
          <w:sz w:val="17"/>
          <w:szCs w:val="17"/>
          <w:color w:val="auto"/>
        </w:rPr>
        <w:t>. In June 2014, the Company filed suit against Roxane Laboratories, Inc. (Roxane) in the U.S. District Court for the District of Delaware (Delaware</w:t>
      </w:r>
      <w:r>
        <w:rPr>
          <w:rFonts w:ascii="Arial" w:cs="Arial" w:eastAsia="Arial" w:hAnsi="Arial"/>
          <w:sz w:val="17"/>
          <w:szCs w:val="17"/>
          <w:i w:val="1"/>
          <w:iCs w:val="1"/>
          <w:color w:val="auto"/>
        </w:rPr>
        <w:t xml:space="preserve"> </w:t>
      </w:r>
      <w:r>
        <w:rPr>
          <w:rFonts w:ascii="Arial" w:cs="Arial" w:eastAsia="Arial" w:hAnsi="Arial"/>
          <w:sz w:val="17"/>
          <w:szCs w:val="17"/>
          <w:color w:val="auto"/>
        </w:rPr>
        <w:t>District Court). The suit sought an adjudication that Roxane has infringed one or more claims of the Company's U.S. Patent No. 8,586,610 (‘610 Patent) by submitting to the U.S. Food and Drug Administration (FDA) an Abbreviated New Drug Application (ANDA) for a generic version of Fanapt</w:t>
      </w:r>
      <w:r>
        <w:rPr>
          <w:rFonts w:ascii="Arial" w:cs="Arial" w:eastAsia="Arial" w:hAnsi="Arial"/>
          <w:sz w:val="20"/>
          <w:szCs w:val="20"/>
          <w:color w:val="auto"/>
          <w:vertAlign w:val="superscript"/>
        </w:rPr>
        <w:t>®</w:t>
      </w:r>
      <w:r>
        <w:rPr>
          <w:rFonts w:ascii="Arial" w:cs="Arial" w:eastAsia="Arial" w:hAnsi="Arial"/>
          <w:sz w:val="17"/>
          <w:szCs w:val="17"/>
          <w:color w:val="auto"/>
        </w:rPr>
        <w:t xml:space="preserve"> prior to the expiration of the ‘610 Patent in November 2027. In addition, pursuant to a settlement agreement with Novartis Pharma AG (Novartis), the Company assumed Novartis’ patent infringement action against Roxane in the Delaware District Court. That suit alleges that Roxane has infringed one or more claims of U.S. Patent RE39198 (‘198 Patent), which is licensed exclusively to the Company, by filing an ANDA for a generic version of Fanapt</w:t>
      </w:r>
      <w:r>
        <w:rPr>
          <w:rFonts w:ascii="Arial" w:cs="Arial" w:eastAsia="Arial" w:hAnsi="Arial"/>
          <w:sz w:val="20"/>
          <w:szCs w:val="20"/>
          <w:color w:val="auto"/>
          <w:vertAlign w:val="superscript"/>
        </w:rPr>
        <w:t>®</w:t>
      </w:r>
      <w:r>
        <w:rPr>
          <w:rFonts w:ascii="Arial" w:cs="Arial" w:eastAsia="Arial" w:hAnsi="Arial"/>
          <w:sz w:val="17"/>
          <w:szCs w:val="17"/>
          <w:color w:val="auto"/>
        </w:rPr>
        <w:t xml:space="preserve"> prior to the expiration of the ‘198 Patent in November 2016. These two cases against Roxane were consolidated by agreement of the parties and were tried together in a five-day bench trial that concluded in March 2016. In August 2016, the Delaware District Court ruled that the Company is entitled to a permanent injunction against Roxane enjoining Roxane from infringing the ‘610 Patent, including the manufacture, use, sale, offer to sell, sale, distribution or importation of any generic iloperidone product described in the ‘610 Patent ANDA until the expiration of the ‘610 Patent in November 2027. If the Company obtains pediatric exclusivity, the injunction against Roxane would be extended until May 2028 under the Delaware District Court’s order. In September 2016, Roxane filed a notice of appeal with the Federal Circuit Court of Appeals (Federal Circuit). In July 2017, Roxane, now a subsidiary of Hikma Pharmaceuticals PLC (Hikma), petitioned the Federal Circuit to substitute Roxane with new defendants West-Ward Pharmaceuticals International Limited and West-Ward Pharmaceuticals Corp. (each of which is a subsidiary of Hikma and both of which are referred to collectively herein as West-Ward). In April 2018, the Federal Circuit affirmed the Delaware District Court’s decision that West-Ward infringed the ‘610 Patent. In June 2018, West-Ward filed with the Federal Circuit a petition seeking rehearing en banc. The Federal Circuit invited the Company to respond to West-Ward’s petition; the Company's response was filed in July 2018. In August 2018, the Federal</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Circuit denied West-Ward's petition for rehearing. In January 2019, West-Ward filed a petition in the United States Supreme Court for a writ of certiorari seeking reversal of the Federal Circuit’s decision. The Company submitted a response to that petition on February 12, 2019. On March 18, 2019, the United States Supreme Court invited the Solicitor General of the United States to file a brief in the matter expressing the views of the United States.</w:t>
      </w:r>
    </w:p>
    <w:p>
      <w:pPr>
        <w:spacing w:after="0" w:line="147"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In 2015, the Company filed six separate patent infringement lawsuits in the Delaware District Court against Roxane, Inventia Healthcare Pvt. Ltd. (Inventia), Lupin Ltd. and Lupin Pharmaceuticals, Inc. (Lupin), Taro Pharmaceuticals USA, Inc. and Taro Pharmaceutical Industries, Ltd. (Taro), and Apotex Inc. and Apotex Corp. (Apotex, and collectively with Roxane, Inventia, Lupin and Taro, the Defendants). The lawsuits each seek an adjudication that the respective Defendants infringed one or more claims of the ‘610 Patent and/or the Company's U.S. Patent No. 9,138,432 (‘432 Patent) by submitting to the FDA an ANDA for a generic version of Fanapt</w:t>
      </w:r>
      <w:r>
        <w:rPr>
          <w:rFonts w:ascii="Arial" w:cs="Arial" w:eastAsia="Arial" w:hAnsi="Arial"/>
          <w:sz w:val="19"/>
          <w:szCs w:val="19"/>
          <w:color w:val="auto"/>
          <w:vertAlign w:val="superscript"/>
        </w:rPr>
        <w:t>®</w:t>
      </w:r>
      <w:r>
        <w:rPr>
          <w:rFonts w:ascii="Arial" w:cs="Arial" w:eastAsia="Arial" w:hAnsi="Arial"/>
          <w:sz w:val="16"/>
          <w:szCs w:val="16"/>
          <w:color w:val="auto"/>
        </w:rPr>
        <w:t xml:space="preserve"> prior to the expiration of the ‘610 Patent in November 2027 or the ‘432 Patent in September 2025. The Defendants denied infringement and counterclaimed for declaratory judgment of invalidity and noninfringement of the ‘610 Patent and the ‘432 Patent. Certain Defendants have since entered into agreements resolving these lawsuits, as discussed below. The remaining matters have been stayed until the later of November 30, 2018 or 14 days after final disposition by the U.S. Supreme Court of any petition for a writ of certiorari filed by West-Ward. The Company entered into a confidential stipulation with each of Inventia and Lupin regarding any potential launch of Inventia’s and Lupin's generic ANDA products.</w:t>
      </w:r>
    </w:p>
    <w:p>
      <w:pPr>
        <w:spacing w:after="0" w:line="175"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i w:val="1"/>
          <w:iCs w:val="1"/>
          <w:color w:val="auto"/>
        </w:rPr>
        <w:t>HETLIOZ</w:t>
      </w:r>
      <w:r>
        <w:rPr>
          <w:rFonts w:ascii="Arial" w:cs="Arial" w:eastAsia="Arial" w:hAnsi="Arial"/>
          <w:sz w:val="20"/>
          <w:szCs w:val="20"/>
          <w:i w:val="1"/>
          <w:iCs w:val="1"/>
          <w:color w:val="auto"/>
          <w:vertAlign w:val="superscript"/>
        </w:rPr>
        <w:t>®</w:t>
      </w:r>
      <w:r>
        <w:rPr>
          <w:rFonts w:ascii="Arial" w:cs="Arial" w:eastAsia="Arial" w:hAnsi="Arial"/>
          <w:sz w:val="17"/>
          <w:szCs w:val="17"/>
          <w:color w:val="auto"/>
        </w:rPr>
        <w:t>. In March 2018, the Company received a Paragraph IV certification notice letter from Teva Pharmaceuticals USA, Inc. (Teva) notifying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that Teva had submitted an ANDA for HETLIOZ</w:t>
      </w:r>
      <w:r>
        <w:rPr>
          <w:rFonts w:ascii="Arial" w:cs="Arial" w:eastAsia="Arial" w:hAnsi="Arial"/>
          <w:sz w:val="20"/>
          <w:szCs w:val="20"/>
          <w:color w:val="auto"/>
          <w:vertAlign w:val="superscript"/>
        </w:rPr>
        <w:t>®</w:t>
      </w:r>
      <w:r>
        <w:rPr>
          <w:rFonts w:ascii="Arial" w:cs="Arial" w:eastAsia="Arial" w:hAnsi="Arial"/>
          <w:sz w:val="17"/>
          <w:szCs w:val="17"/>
          <w:color w:val="auto"/>
        </w:rPr>
        <w:t xml:space="preserve"> to the FDA requesting approval to market, sell and use a generic version of the 20mg HETLIOZ</w:t>
      </w:r>
      <w:r>
        <w:rPr>
          <w:rFonts w:ascii="Arial" w:cs="Arial" w:eastAsia="Arial" w:hAnsi="Arial"/>
          <w:sz w:val="20"/>
          <w:szCs w:val="20"/>
          <w:color w:val="auto"/>
          <w:vertAlign w:val="superscript"/>
        </w:rPr>
        <w:t>®</w:t>
      </w:r>
      <w:r>
        <w:rPr>
          <w:rFonts w:ascii="Arial" w:cs="Arial" w:eastAsia="Arial" w:hAnsi="Arial"/>
          <w:sz w:val="17"/>
          <w:szCs w:val="17"/>
          <w:color w:val="auto"/>
        </w:rPr>
        <w:t xml:space="preserve"> capsules for Non-24. In its notice letter, Teva alleges that the Company's U.S. Patent No. RE46,604, U.S. Patent No. 9,060,995, U.S. Patent 9,539,234, U.S. Patent 9,549,913, U.S. Patent 9,730,910 and U.S. Patent 9,885,241 (collectively, the Vanda Patents), each of which is listed in the </w:t>
      </w:r>
      <w:r>
        <w:rPr>
          <w:rFonts w:ascii="Arial" w:cs="Arial" w:eastAsia="Arial" w:hAnsi="Arial"/>
          <w:sz w:val="17"/>
          <w:szCs w:val="17"/>
          <w:i w:val="1"/>
          <w:iCs w:val="1"/>
          <w:color w:val="auto"/>
        </w:rPr>
        <w:t>Approved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Drug Products with Therapeutic Equivalence Evaluations </w:t>
      </w:r>
      <w:r>
        <w:rPr>
          <w:rFonts w:ascii="Arial" w:cs="Arial" w:eastAsia="Arial" w:hAnsi="Arial"/>
          <w:sz w:val="17"/>
          <w:szCs w:val="17"/>
          <w:color w:val="auto"/>
        </w:rPr>
        <w:t>(Orange Book), which cover methods of using HETLIOZ</w:t>
      </w:r>
      <w:r>
        <w:rPr>
          <w:rFonts w:ascii="Arial" w:cs="Arial" w:eastAsia="Arial" w:hAnsi="Arial"/>
          <w:sz w:val="20"/>
          <w:szCs w:val="20"/>
          <w:color w:val="auto"/>
          <w:vertAlign w:val="superscript"/>
        </w:rPr>
        <w:t>®</w:t>
      </w:r>
      <w:r>
        <w:rPr>
          <w:rFonts w:ascii="Arial" w:cs="Arial" w:eastAsia="Arial" w:hAnsi="Arial"/>
          <w:sz w:val="17"/>
          <w:szCs w:val="17"/>
          <w:color w:val="auto"/>
        </w:rPr>
        <w:t>, are invalid, unenforceable and/or will</w:t>
      </w:r>
      <w:r>
        <w:rPr>
          <w:rFonts w:ascii="Arial" w:cs="Arial" w:eastAsia="Arial" w:hAnsi="Arial"/>
          <w:sz w:val="17"/>
          <w:szCs w:val="17"/>
          <w:i w:val="1"/>
          <w:iCs w:val="1"/>
          <w:color w:val="auto"/>
        </w:rPr>
        <w:t xml:space="preserve"> </w:t>
      </w:r>
      <w:r>
        <w:rPr>
          <w:rFonts w:ascii="Arial" w:cs="Arial" w:eastAsia="Arial" w:hAnsi="Arial"/>
          <w:sz w:val="17"/>
          <w:szCs w:val="17"/>
          <w:color w:val="auto"/>
        </w:rPr>
        <w:t>not be infringed by Teva’s manufacture, use or sale of the product described in its ANDA. The Company received similar notice letters in April 2018 from MSN Pharmaceuticals Inc. and MSN Laboratories Private Limited (together, MSN) and Apotex.</w:t>
      </w:r>
    </w:p>
    <w:p>
      <w:pPr>
        <w:spacing w:after="0" w:line="204"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In April 2018, the Company filed a patent infringement lawsuit in the Delaware District Court against Teva and in May 2018, the Company filed patent infringement lawsuits in the Delaware District Court against MSN and Apotex. The lawsuits seek an adjudication that Teva, MSN and Apotex have infringed one or more claims of the Vanda Patents by submitting to the FDA an ANDA for a generic version of HETLIOZ</w:t>
      </w:r>
      <w:r>
        <w:rPr>
          <w:rFonts w:ascii="Arial" w:cs="Arial" w:eastAsia="Arial" w:hAnsi="Arial"/>
          <w:sz w:val="19"/>
          <w:szCs w:val="19"/>
          <w:color w:val="auto"/>
          <w:vertAlign w:val="superscript"/>
        </w:rPr>
        <w:t>®</w:t>
      </w:r>
      <w:r>
        <w:rPr>
          <w:rFonts w:ascii="Arial" w:cs="Arial" w:eastAsia="Arial" w:hAnsi="Arial"/>
          <w:sz w:val="16"/>
          <w:szCs w:val="16"/>
          <w:color w:val="auto"/>
        </w:rPr>
        <w:t xml:space="preserve"> prior to the expiration of the latest to expire of the Vanda Patents in 2034. The relief requested by the Company in the lawsuits includes requests for permanent injunctions preventing Teva, MSN and Apotex from infringing the asserted claims of the Vanda Patents by engaging in the manufacture, use, offer to sell, sale, importation or distribution of generic versions of HETLIOZ</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before the last expiration date of the Vanda Patents and for an order that any effective date of FDA approval of Teva, MSN, and Apotex’s generic versions of HETLIOZ</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be a date not earlier than the expiration of the Vanda Patents. The lawsuits automatically preclude the FDA from approving the submitted ANDAs until the earlier of seven and one-half years after the January 2014 approval of the Company's NCE status application or entry of a district court decision finding the Vanda Patents invalid, unenforceable or not infringed. In June 2018, Teva, MSN and Apotex each answered the Company's complaint, and Teva included counterclaims for declarations that the Vanda Patents are invalid. MSN included additional counterclaims for declarations that the Vanda Patents are not infringed. In July 2018, the Company answered Teva and MSN's counterclaims, denying their allegations.</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In October 2018, the Company received an additional Paragraph IV certification notice letter from Teva concerning its Orange Book listed U.S. Patent No. 10,071,977, which expires in 2035 (the ‘977 Patent). In November 2018, the Company received a similar additional Paragraph IV certification notice letter from Apotex concerning the ’977 Patent. In December 2018, the Company filed amended complaints against Teva, Apotex, and MSN alleging infringement of one or more claims of the ’977 Patent. The amended complaints seek an adjudication that Teva, Apotex, and MSN have infringed one or more claims of the ’977 Patent by submitting to FDA an ANDA for a generic version of HETLIOZ</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prior to the expiration of the ’977 Patent. The relief requested by the Company in the amended complaints includes requests for permanent injunctions preventing Teva, Apotex, and MSN from infringing the asserted claims of the ’977 Patent by engaging in the manufacture, use, offer to sell, sale, importation or distribution of generic versions of HETLIOZ</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before the expiration date of the ’977 Patent and for an order that any effective date of FDA approval of Teva, MSN, and Apotex’s generic versions of HETLIOZ</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be a date not earlier than the expiration of the ’977 Patent. In December 2018, Teva, MSN, and Apotex answered the Company's amended complaints, and Teva and MSN included counterclaims for declarations that the ’977 Patent is invalid, and MSN included an additional counterclaim that the ’977 Patent is unenforceable for inequitable conduct. In January 2019, the Company answered Teva and MSN’s counterclaims. A trial date for these lawsuits has been set for September 2020.</w:t>
      </w:r>
    </w:p>
    <w:p>
      <w:pPr>
        <w:spacing w:after="0" w:line="18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February 2019, the Company received additional Paragraph IV certification notice letters separately from Teva and Apotex concerning Vanda’s Orange Book listed U.S. Patent No. 10,149,829, which expires in 2033 (the ’829 Patent). In their notice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18" w:right="2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letters, Teva and Apotex allege that the ’829 Patent, which covers methods of using HETLIOZ</w:t>
      </w:r>
      <w:r>
        <w:rPr>
          <w:rFonts w:ascii="Arial" w:cs="Arial" w:eastAsia="Arial" w:hAnsi="Arial"/>
          <w:sz w:val="24"/>
          <w:szCs w:val="24"/>
          <w:color w:val="auto"/>
          <w:vertAlign w:val="superscript"/>
        </w:rPr>
        <w:t>®</w:t>
      </w:r>
      <w:r>
        <w:rPr>
          <w:rFonts w:ascii="Arial" w:cs="Arial" w:eastAsia="Arial" w:hAnsi="Arial"/>
          <w:sz w:val="17"/>
          <w:szCs w:val="17"/>
          <w:color w:val="auto"/>
        </w:rPr>
        <w:t>, is invalid, unenforceable and will not be infringed by Teva’s and Apotex’s respective manufacture, use or sale of the product described in their respective ANDAs. In May 2019, the Company received an additional Paragraph IV certification notice letter from MSN concerning the ’977 and ’829 Patents. In the May 2019 notice letter, MSN alleges that the ’977 and ’829 Patents are invalid, unenforceable and will not be infringed by MSN’s manufacture, use or sale of the product described in its ANDA.</w:t>
      </w:r>
    </w:p>
    <w:p>
      <w:pPr>
        <w:spacing w:after="0" w:line="200"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In March 2019, April 2019, and May 2019, Vanda filed separate patent infringement lawsuits in the Delaware District Court against Teva, Apotex, and MSN, respectively. The lawsuits seek adjudications that Teva, Apotex, and MSN have infringed one or more claims of the ’829 Patent by submitting to the FDA an ANDA for a generic version of HETLIOZ</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prior to the expiration of the ’829 Patent. The relief requested by the Company includes permanent injunctions preventing Teva, Apotex, and MSN from infringing the asserted claims of the ’829 Patent by engaging in the manufacture, use, offer to sell, sale, importation or distribution of generic versions of HETLIOZ</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before the expiration of the ’829 Patent, and includes orders that any effective date of FDA approval of Teva, Apotex, and MSN’s generic versions of HETLIOZ</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be a date not earlier than the expiration of the ’829 Patent.</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April 2019, Teva answered the Company’s complaint, in which Teva included a counterclaim for a declaration that the ’829 Patent is invalid. In May 2019, Vanda answered Teva’s counterclaim. In May 2019, Apotex answered the Company’s complaint for the ’829 Patent. Also in May 2019, MSN answered the Company’s complaint, in which MSN included counterclaims for a declaration of non-infringement for the ’829 Patent and a declaration that the ’829 Patent is invalid. In June 2019, Vanda answered MSN’s counterclaims.</w:t>
      </w:r>
    </w:p>
    <w:p>
      <w:pPr>
        <w:spacing w:after="0" w:line="187"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Other Matters</w:t>
      </w:r>
      <w:r>
        <w:rPr>
          <w:rFonts w:ascii="Arial" w:cs="Arial" w:eastAsia="Arial" w:hAnsi="Arial"/>
          <w:sz w:val="17"/>
          <w:szCs w:val="17"/>
          <w:color w:val="auto"/>
        </w:rPr>
        <w:t>. In April 2018, the Company submitted a protocol amendment to the FDA, proposing a 52-week open-label extension (OLE) period for</w:t>
      </w:r>
      <w:r>
        <w:rPr>
          <w:rFonts w:ascii="Arial" w:cs="Arial" w:eastAsia="Arial" w:hAnsi="Arial"/>
          <w:sz w:val="17"/>
          <w:szCs w:val="17"/>
          <w:i w:val="1"/>
          <w:iCs w:val="1"/>
          <w:color w:val="auto"/>
        </w:rPr>
        <w:t xml:space="preserve"> </w:t>
      </w:r>
      <w:r>
        <w:rPr>
          <w:rFonts w:ascii="Arial" w:cs="Arial" w:eastAsia="Arial" w:hAnsi="Arial"/>
          <w:sz w:val="17"/>
          <w:szCs w:val="17"/>
          <w:color w:val="auto"/>
        </w:rPr>
        <w:t>patients who had completed the tradipitant Phase II clinical study (2301) in gastroparesis. In May 2018, based on feedback from the FDA, the Company amended the protocol limiting the duration of treatment in the 2301 study to a total of three months, while continuing to seek further dialogue with the FDA on extending the study duration to 52-weeks. As a part of this negotiation process, in September 2018, the Company submitted a new follow-on 52-week OLE protocol to the FDA (2302) for patients who had completed the 2301 study. While waiting for further feedback, no patients were ever enrolled in any study beyond 12 weeks. On December 19, 2018, the FDA imposed a partial clinical hold (PCH) on the two proposed studies, stating that the Company is required first to conduct additional chronic toxicity studies in canines, monkeys or minipigs before allowing patients access in any clinical protocol beyond 12 weeks. The original PCH was not based on any safety or efficacy data related to tradipitant. Rather, the FDA informed the Company that these additional toxicity studies are required by a guidance document. On February 5, 2019, the Company filed a lawsuit against the FDA in the United States District Court for the District of Columbia (DC District Court), challenging the FDA’s legal authority to issue the PCH, and seeking an order to set it aside. On February 14, 2019, the FDA filed a Motion for Voluntary Remand to the Agency and for a Stay of the Case. On March 14, 2019, the DC District Court granted the FDA’s request for voluntary remand and returned the matter to the FDA for further consideration. On April 26, 2019, the FDA provided its remand response, in which it indicated that, upon review of scientific literature and tradipitant data, it believes that a partial clinical hold continues to be appropriate until Vanda has adequate safety data from a 9-month non-rodent toxicity study. After reviewing the FDA’s remand response, the Company continues to believe that additional chronic toxicity studies are unjustified, and that the Company has provided the FDA with sufficient information regarding the safety of tradipitant to justify the continued study of tradipitant in patients beyond 12 weeks, in accordance with applicable law and FDA regulations. In May 2019, the Company filed an amended complaint, and on July 10, 2019, the Company filed a Motion for Summary Judgment. The Company intends to continue vigorously pursuing its interests in the matter.</w:t>
      </w:r>
    </w:p>
    <w:p>
      <w:pPr>
        <w:spacing w:after="0" w:line="191"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In February 2019, a qui tam action filed against the Company was unsealed by order of the DC District Court. The qui tam action, which was filed under seal in March 2017, was brought by a former Company employee on behalf of the U.S., 28 states and the District of Columbia (collectively, the Plaintiff States) and the policyholders of certain insurance companies under the Federal False Claims Act and state law equivalents to the Federal False Claims Act and related state laws. The original complaint alleged that the Company violated these laws through the promotion and marketing of its products Fanapt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HETLIOZ</w:t>
      </w:r>
      <w:r>
        <w:rPr>
          <w:rFonts w:ascii="Arial" w:cs="Arial" w:eastAsia="Arial" w:hAnsi="Arial"/>
          <w:sz w:val="24"/>
          <w:szCs w:val="24"/>
          <w:color w:val="auto"/>
          <w:vertAlign w:val="superscript"/>
        </w:rPr>
        <w:t>®</w:t>
      </w:r>
      <w:r>
        <w:rPr>
          <w:rFonts w:ascii="Arial" w:cs="Arial" w:eastAsia="Arial" w:hAnsi="Arial"/>
          <w:sz w:val="17"/>
          <w:szCs w:val="17"/>
          <w:color w:val="auto"/>
        </w:rPr>
        <w:t>. The original complaint sought, among other things, treble damages, civil penalties for each alleged false claim, and attorneys’ fees and costs. By virtue of the DC District Court having unsealed the original complaint, the Company learned that in January 2019, the U.S., as well as the Plaintiff States, filed notice of their election not to intervene in the qui tam action at that time. The U.S.’ and the Plaintiff States’ election not to intervene does not prevent the plaintiff/relator from litigating this action and the U.S. and the Plaintiff States may later seek to intervene in the action, including after review of the amended complaint.</w:t>
      </w:r>
    </w:p>
    <w:p>
      <w:pPr>
        <w:spacing w:after="0" w:line="19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In May 2019, in the qui tam action filed against the Company in the DC District Court and titled </w:t>
      </w:r>
      <w:r>
        <w:rPr>
          <w:rFonts w:ascii="Arial" w:cs="Arial" w:eastAsia="Arial" w:hAnsi="Arial"/>
          <w:sz w:val="18"/>
          <w:szCs w:val="18"/>
          <w:i w:val="1"/>
          <w:iCs w:val="1"/>
          <w:color w:val="auto"/>
        </w:rPr>
        <w:t>United States ex rel. Richard Gardner v. Vanda</w:t>
      </w:r>
      <w:r>
        <w:rPr>
          <w:rFonts w:ascii="Arial" w:cs="Arial" w:eastAsia="Arial" w:hAnsi="Arial"/>
          <w:sz w:val="18"/>
          <w:szCs w:val="18"/>
          <w:color w:val="auto"/>
        </w:rPr>
        <w:t xml:space="preserve"> </w:t>
      </w:r>
      <w:r>
        <w:rPr>
          <w:rFonts w:ascii="Arial" w:cs="Arial" w:eastAsia="Arial" w:hAnsi="Arial"/>
          <w:sz w:val="18"/>
          <w:szCs w:val="18"/>
          <w:i w:val="1"/>
          <w:iCs w:val="1"/>
          <w:color w:val="auto"/>
        </w:rPr>
        <w:t>Pharmaceuticals Inc.</w:t>
      </w:r>
      <w:r>
        <w:rPr>
          <w:rFonts w:ascii="Arial" w:cs="Arial" w:eastAsia="Arial" w:hAnsi="Arial"/>
          <w:sz w:val="18"/>
          <w:szCs w:val="18"/>
          <w:color w:val="auto"/>
        </w:rPr>
        <w:t>, the plaintiff, Richard Gardner, filed a Motion for Leave to File Document Under Seal, with an amended complaint attached. According</w:t>
      </w:r>
      <w:r>
        <w:rPr>
          <w:rFonts w:ascii="Arial" w:cs="Arial" w:eastAsia="Arial" w:hAnsi="Arial"/>
          <w:sz w:val="18"/>
          <w:szCs w:val="18"/>
          <w:i w:val="1"/>
          <w:iCs w:val="1"/>
          <w:color w:val="auto"/>
        </w:rPr>
        <w:t xml:space="preserve"> </w:t>
      </w:r>
      <w:r>
        <w:rPr>
          <w:rFonts w:ascii="Arial" w:cs="Arial" w:eastAsia="Arial" w:hAnsi="Arial"/>
          <w:sz w:val="18"/>
          <w:szCs w:val="18"/>
          <w:color w:val="auto"/>
        </w:rPr>
        <w:t>to a filing unsealed on June 7, 2019, the U.S. Department of Justice (the DOJ)</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reviewed the amended complaint and reaffirmed its decision not to intervene in the qui tam action. In that filing, the DOJ also incorporated its prior filing indicating that neither the U.S. nor the Plaintiff States were intervening regarding the original complaint. The amended complaint is also brought on behalf of the Plaintiff States, and the policyholders of certain insurance companies under the Federal False Claims Act and related state laws. The amended complaint alleges that the Company violated these laws through the promotion and marketing of its products Fanapt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HETLIOZ</w:t>
      </w:r>
      <w:r>
        <w:rPr>
          <w:rFonts w:ascii="Arial" w:cs="Arial" w:eastAsia="Arial" w:hAnsi="Arial"/>
          <w:sz w:val="24"/>
          <w:szCs w:val="24"/>
          <w:color w:val="auto"/>
          <w:vertAlign w:val="superscript"/>
        </w:rPr>
        <w:t>®</w:t>
      </w:r>
      <w:r>
        <w:rPr>
          <w:rFonts w:ascii="Arial" w:cs="Arial" w:eastAsia="Arial" w:hAnsi="Arial"/>
          <w:sz w:val="17"/>
          <w:szCs w:val="17"/>
          <w:color w:val="auto"/>
        </w:rPr>
        <w:t>. The amended complaint seeks, among other things, treble damages, civil penalties for each alleged false claim, and attorneys’ fees and costs. The plaintiff may litigate this action and the DOJ and the Plaintiff States may later seek to intervene in the action. The Company has waived service of the amended complaint and intends to defend itself vigorously in the case. The Company’s initial response to the amended complaint is due on August 13, 2019.</w:t>
      </w:r>
    </w:p>
    <w:p>
      <w:pPr>
        <w:spacing w:after="0" w:line="195"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 xml:space="preserve">In February 2019, a securities class action, </w:t>
      </w:r>
      <w:r>
        <w:rPr>
          <w:rFonts w:ascii="Arial" w:cs="Arial" w:eastAsia="Arial" w:hAnsi="Arial"/>
          <w:sz w:val="17"/>
          <w:szCs w:val="17"/>
          <w:i w:val="1"/>
          <w:iCs w:val="1"/>
          <w:color w:val="auto"/>
        </w:rPr>
        <w:t>Gordon v. Vanda Pharmaceuticals Inc.</w:t>
      </w:r>
      <w:r>
        <w:rPr>
          <w:rFonts w:ascii="Arial" w:cs="Arial" w:eastAsia="Arial" w:hAnsi="Arial"/>
          <w:sz w:val="17"/>
          <w:szCs w:val="17"/>
          <w:color w:val="auto"/>
        </w:rPr>
        <w:t>, was filed in the U.S. District Court for the Eastern District of New York naming the Company and certain of its officers as defendants. An amended complaint was filed on July 23, 2019. The amended complaint, filed on behalf of a purported stockholder of the Company, asserts claims on behalf of a putative class of all persons who purchased the Company’s publicly traded securities between November 4, 2015 through February 11, 2019, for alleged violations of Sections 10(b) and 20(a) of the Securities Exchange Act of 1934, as amended, and Rule 10b-5 promulgated thereunder. The amended complaint alleges that the defendants made false and misleading statements and/or omissions regarding Fanapt</w:t>
      </w:r>
      <w:r>
        <w:rPr>
          <w:rFonts w:ascii="Arial" w:cs="Arial" w:eastAsia="Arial" w:hAnsi="Arial"/>
          <w:sz w:val="24"/>
          <w:szCs w:val="24"/>
          <w:color w:val="auto"/>
          <w:vertAlign w:val="superscript"/>
        </w:rPr>
        <w:t>®</w:t>
      </w:r>
      <w:r>
        <w:rPr>
          <w:rFonts w:ascii="Arial" w:cs="Arial" w:eastAsia="Arial" w:hAnsi="Arial"/>
          <w:sz w:val="17"/>
          <w:szCs w:val="17"/>
          <w:color w:val="auto"/>
        </w:rPr>
        <w:t>, HETLIOZ</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the Company’s interactions with the FDA regarding tradipitant between November 3, 2015 and February 11, 2019. The Company believes that it has meritorious defenses and intends to vigorously defend this lawsuit. The Company does not anticipate that this litigation will have a material adverse effect on its business, results of operations or financial condition. However, this lawsuit is subject to inherent uncertainties, the actual cost may be significant, and the Company may not prevail. The Company believes it is entitled to coverage under its relevant insurance policies, subject to a retention, but coverage could be denied or prove to be insufficient.</w:t>
      </w:r>
    </w:p>
    <w:p>
      <w:pPr>
        <w:spacing w:after="0" w:line="18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On July 25, 2019, a shareholder derivative complaint, </w:t>
      </w:r>
      <w:r>
        <w:rPr>
          <w:rFonts w:ascii="Arial" w:cs="Arial" w:eastAsia="Arial" w:hAnsi="Arial"/>
          <w:sz w:val="16"/>
          <w:szCs w:val="16"/>
          <w:i w:val="1"/>
          <w:iCs w:val="1"/>
          <w:color w:val="auto"/>
        </w:rPr>
        <w:t>Samuel Williams vs. Mihael Polymeropoulos, et al.</w:t>
      </w:r>
      <w:r>
        <w:rPr>
          <w:rFonts w:ascii="Arial" w:cs="Arial" w:eastAsia="Arial" w:hAnsi="Arial"/>
          <w:sz w:val="16"/>
          <w:szCs w:val="16"/>
          <w:color w:val="auto"/>
        </w:rPr>
        <w:t>, was filed in the U.S. District Court for the Eastern District of New York naming certain current and former Company directors and officers as defendants. The complaint, filed on behalf of a purported stockholder of the Company, derivatively on behalf of the Company, asserts claims for alleged breach of fiduciary duties by certain of the Company’s current and former directors and officers. The Company believes that it has meritorious defenses and intends to vigorously defend this lawsuit. The Company does not anticipate that this litigation will have a material adverse effect on its business, results of operations or financial condition. However, this lawsuit is subject to inherent uncertainties, the actual cost may be significant, and the Company may not prevail. The Company believes it is entitled to coverage under its relevant insurance policies, subject to a retention, but coverage could be denied or prove to be insufficient.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118" w:right="29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Vanda Pharmaceuticals Inc. (we, our or Vanda) is a global biopharmaceutical company focused on the development and commercialization of innovative therapies to address high unmet medical needs and improve the lives of patients. We commenced operations in 2003 and our product portfolio includes:</w:t>
      </w:r>
    </w:p>
    <w:p>
      <w:pPr>
        <w:spacing w:after="0" w:line="16" w:lineRule="exact"/>
        <w:rPr>
          <w:sz w:val="20"/>
          <w:szCs w:val="20"/>
          <w:color w:val="auto"/>
        </w:rPr>
      </w:pPr>
    </w:p>
    <w:p>
      <w:pPr>
        <w:ind w:left="660" w:right="20" w:hanging="328"/>
        <w:spacing w:after="0" w:line="20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HETLIOZ</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(tasimelteon), a product for the treatment of non-24-hour sleep-wake disorder (Non-24), was approved by the U.S. Food and Drug Administration (FDA) in January 2014 and launched commercially in the U.S. in April 2014. In July 2015, the European Commission (EC) granted centralized marketing authorization with unified labeling for HETLIOZ</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the treatment of Non-24 in totally blind adults. HETLIOZ</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was commercially launched in Germany in August 2016. HETLIOZ</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has potential utility in a number of other circadian rhythm disorders and is presently in clinical development for the treatment of jet lag disorder, Smith-Magenis Syndrome (SMS) and pediatric Non-24. An assessment of new HETLIOZ</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clinical opportunities including the treatment of delayed sleep phase disorder (DSPD) and for sleep disorders in patients with neurodevelopmental disorders is ongoing.</w:t>
      </w:r>
    </w:p>
    <w:p>
      <w:pPr>
        <w:spacing w:after="0" w:line="100" w:lineRule="exact"/>
        <w:rPr>
          <w:rFonts w:ascii="Arial" w:cs="Arial" w:eastAsia="Arial" w:hAnsi="Arial"/>
          <w:sz w:val="18"/>
          <w:szCs w:val="18"/>
          <w:color w:val="auto"/>
        </w:rPr>
      </w:pPr>
    </w:p>
    <w:p>
      <w:pPr>
        <w:ind w:left="660" w:right="160" w:hanging="328"/>
        <w:spacing w:after="0" w:line="22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Fanapt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(iloperidone), a product for the treatment of schizophrenia, the oral formulation of which was approved by the FDA in May 2009 and launched commercially in the U.S. by Novartis Pharma AG (Novartis) in January 2010. Novartis transferred all the U.S. and Canadian commercial rights to the Fanapt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franchise to us on December 31, 2014. Additionally, our distribution partners launched Fanapt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Israel in 2014. Fanapt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has potential utility in a number of other disorders. Initial clinical work studying a long acting injectable (LAI) formulation of Fanapt® began in 2018. An assessment of new Fanapt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clinical opportunities including the treatment of bipolar depression is ongoing</w:t>
      </w:r>
    </w:p>
    <w:p>
      <w:pPr>
        <w:spacing w:after="0" w:line="2" w:lineRule="exact"/>
        <w:rPr>
          <w:rFonts w:ascii="Arial" w:cs="Arial" w:eastAsia="Arial" w:hAnsi="Arial"/>
          <w:sz w:val="17"/>
          <w:szCs w:val="17"/>
          <w:color w:val="auto"/>
        </w:rPr>
      </w:pPr>
    </w:p>
    <w:p>
      <w:pPr>
        <w:ind w:left="660" w:right="160" w:hanging="328"/>
        <w:spacing w:after="0" w:line="27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Tradipitant (VLY-686), a small molecule neurokinin-1 receptor (NK-1R) antagonist, which is presently in clinical development for the treatment of chronic pruritus in atopic dermatitis, gastroparesis and motion sickness.</w:t>
      </w:r>
    </w:p>
    <w:p>
      <w:pPr>
        <w:spacing w:after="0" w:line="6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VTR-297, a small molecule histone deacetylase (HDAC) inhibitor presently in clinical development for the treatment of hematologic malignancies.</w:t>
      </w:r>
    </w:p>
    <w:p>
      <w:pPr>
        <w:spacing w:after="0" w:line="140" w:lineRule="exact"/>
        <w:rPr>
          <w:rFonts w:ascii="Arial" w:cs="Arial" w:eastAsia="Arial" w:hAnsi="Arial"/>
          <w:sz w:val="16"/>
          <w:szCs w:val="16"/>
          <w:color w:val="auto"/>
        </w:rPr>
      </w:pPr>
    </w:p>
    <w:p>
      <w:pPr>
        <w:jc w:val="both"/>
        <w:ind w:left="660" w:right="32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Portfolio of Cystic Fibrosis Transmembrane Conductance Regulator (CFTR) activators and inhibitors. An early stage CFTR activator program is planned for the treatment of dry eye and ocular inflammation. In addition, an early stage CFTR inhibitor program is planned for the treatment of gastrointestinal disorders, including cholera.</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VQW-765, a Phase II alpha-7 nicotinic acetylcholine receptor partial agonist.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Tradipitant</w:t>
      </w:r>
    </w:p>
    <w:p>
      <w:pPr>
        <w:spacing w:after="0" w:line="117" w:lineRule="exact"/>
        <w:rPr>
          <w:sz w:val="20"/>
          <w:szCs w:val="20"/>
          <w:color w:val="auto"/>
        </w:rPr>
      </w:pPr>
    </w:p>
    <w:p>
      <w:pPr>
        <w:ind w:left="660" w:right="20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July 2019, we announced positive results from a Phase II clinical study (Motion Sifnos) of tradipitant in motion sickness. Patients with a prior history of motion sickness were treated with tradipitant or placebo prior to a chartered trip on the Pacific Ocean. In this setting, significantly fewer patients on tradipitant vomited than those on placebo. We intend to initiate a Phase III program in motion sickness in 2019 with a plan to file for marketing authorization in 2020.</w:t>
      </w:r>
    </w:p>
    <w:p>
      <w:pPr>
        <w:spacing w:after="0" w:line="7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After meeting with the FDA in May 2019 to discuss the Phase III program, we initiated a Phase III clinical study of tradipitant in gastroparesis in the second quarter of 2019 and plan to begin randomizing patients in the third quarter of 2019.</w:t>
      </w:r>
    </w:p>
    <w:p>
      <w:pPr>
        <w:spacing w:after="0" w:line="62"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Enrollment in the Phase III clinical study (EPIONE) of tradipitant in atopic dermatitis is ongoing. Results are expected in the first half of 2020. A second Phase III clinical study is expected to begin in the first quarter of 2020.</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HETLIOZ</w:t>
      </w:r>
      <w:r>
        <w:rPr>
          <w:rFonts w:ascii="Arial" w:cs="Arial" w:eastAsia="Arial" w:hAnsi="Arial"/>
          <w:sz w:val="25"/>
          <w:szCs w:val="25"/>
          <w:color w:val="auto"/>
          <w:vertAlign w:val="superscript"/>
        </w:rPr>
        <w:t>®</w:t>
      </w:r>
    </w:p>
    <w:p>
      <w:pPr>
        <w:spacing w:after="0" w:line="145" w:lineRule="exact"/>
        <w:rPr>
          <w:sz w:val="20"/>
          <w:szCs w:val="20"/>
          <w:color w:val="auto"/>
        </w:rPr>
      </w:pPr>
    </w:p>
    <w:p>
      <w:pPr>
        <w:ind w:left="660" w:hanging="328"/>
        <w:spacing w:after="0" w:line="23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FDA’s review of the supplemental New Drug Application (sNDA) of HETLIOZ</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the treatment of jet lag disorder is ongoing with a Prescription Drug User Fee Act (PDUFA) target date of August 16, 2019. On July 19, 2019, we received a “Deficiencies Preclude Discussion” letter from the FDA. The letter does not specify any deficiencies in the file at this time. We will await the PDUFA action and work expeditiously to resolve any potential deficiencies.</w:t>
      </w:r>
    </w:p>
    <w:p>
      <w:pPr>
        <w:spacing w:after="0" w:line="20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expect to file a sNDA for HETLIOZ</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the treatment of SMS in the third quarter of 2019.</w:t>
      </w:r>
    </w:p>
    <w:p>
      <w:pPr>
        <w:spacing w:after="0" w:line="144" w:lineRule="exact"/>
        <w:rPr>
          <w:rFonts w:ascii="Arial" w:cs="Arial" w:eastAsia="Arial" w:hAnsi="Arial"/>
          <w:sz w:val="18"/>
          <w:szCs w:val="18"/>
          <w:color w:val="auto"/>
        </w:rPr>
      </w:pPr>
    </w:p>
    <w:p>
      <w:pPr>
        <w:ind w:left="660" w:right="160" w:hanging="328"/>
        <w:spacing w:after="0" w:line="21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plan in the third quarter of 2019 to initiate a Phase II clinical study of HETLIOZ</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 DSPD in patients who have a mutation in the CRY1 gene, which is believed to be causative in a subset of patients with DSPD.</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18" w:right="2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Fanapt</w:t>
      </w:r>
      <w:r>
        <w:rPr>
          <w:rFonts w:ascii="Arial" w:cs="Arial" w:eastAsia="Arial" w:hAnsi="Arial"/>
          <w:sz w:val="25"/>
          <w:szCs w:val="25"/>
          <w:color w:val="auto"/>
          <w:vertAlign w:val="superscript"/>
        </w:rPr>
        <w:t>®</w:t>
      </w:r>
    </w:p>
    <w:p>
      <w:pPr>
        <w:spacing w:after="0" w:line="4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Enrollment is ongoing in a pharmacokinetic study for the once-a-month LAI formulation of Fanapt</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randomized study of Fanapt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 bipolar disorder is planned to begin in 2019.</w:t>
      </w:r>
    </w:p>
    <w:p>
      <w:pPr>
        <w:spacing w:after="0" w:line="2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VTR-297</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Enrollment is ongoing in a Phase I clinical study (1101) of VTR-297 in hematologic malignancies.</w:t>
      </w:r>
    </w:p>
    <w:p>
      <w:pPr>
        <w:spacing w:after="0" w:line="225" w:lineRule="exact"/>
        <w:rPr>
          <w:sz w:val="20"/>
          <w:szCs w:val="20"/>
          <w:color w:val="auto"/>
        </w:rPr>
      </w:pPr>
    </w:p>
    <w:p>
      <w:pPr>
        <w:ind w:left="60" w:right="20"/>
        <w:spacing w:after="0" w:line="248" w:lineRule="auto"/>
        <w:rPr>
          <w:sz w:val="20"/>
          <w:szCs w:val="20"/>
          <w:color w:val="auto"/>
        </w:rPr>
      </w:pPr>
      <w:r>
        <w:rPr>
          <w:rFonts w:ascii="Arial" w:cs="Arial" w:eastAsia="Arial" w:hAnsi="Arial"/>
          <w:sz w:val="18"/>
          <w:szCs w:val="18"/>
          <w:color w:val="auto"/>
        </w:rPr>
        <w:t>Since we began operations in March 2003, we have devoted substantially all of our resources to the in-licensing, clinical development and commercialization of our products. Our ability to generate meaningful product sales and achieve profitability largely depends on our ability to successfully commercialize HETLIOZ</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Fanapt</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and Europe, on our ability, alone or with others, to complete the development of our products, and to obtain the regulatory approvals for and to manufacture, market and sell our products. The results of our operations will vary significantly from year-to-year and quarter-to-quarter and depend on a number of factors, including risks related to our business, risks related to our industry, and other risks which are detailed in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reported in Item 1A of Part I of our annual report on Form 10-K for the year ended December 31, 2018 and Item 1A of Part II of this quarterly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10-Q.</w:t>
      </w:r>
    </w:p>
    <w:p>
      <w:pPr>
        <w:spacing w:after="0" w:line="196" w:lineRule="exact"/>
        <w:rPr>
          <w:sz w:val="20"/>
          <w:szCs w:val="20"/>
          <w:color w:val="auto"/>
        </w:rPr>
      </w:pPr>
    </w:p>
    <w:p>
      <w:pPr>
        <w:ind w:left="60" w:right="460"/>
        <w:spacing w:after="0" w:line="277" w:lineRule="auto"/>
        <w:rPr>
          <w:sz w:val="20"/>
          <w:szCs w:val="20"/>
          <w:color w:val="auto"/>
        </w:rPr>
      </w:pPr>
      <w:r>
        <w:rPr>
          <w:rFonts w:ascii="Arial" w:cs="Arial" w:eastAsia="Arial" w:hAnsi="Arial"/>
          <w:sz w:val="18"/>
          <w:szCs w:val="18"/>
          <w:color w:val="auto"/>
        </w:rPr>
        <w:t xml:space="preserve">As described in Part II, Item 1, </w:t>
      </w:r>
      <w:r>
        <w:rPr>
          <w:rFonts w:ascii="Arial" w:cs="Arial" w:eastAsia="Arial" w:hAnsi="Arial"/>
          <w:sz w:val="18"/>
          <w:szCs w:val="18"/>
          <w:i w:val="1"/>
          <w:iCs w:val="1"/>
          <w:color w:val="auto"/>
        </w:rPr>
        <w:t>Legal Proceedings</w:t>
      </w:r>
      <w:r>
        <w:rPr>
          <w:rFonts w:ascii="Arial" w:cs="Arial" w:eastAsia="Arial" w:hAnsi="Arial"/>
          <w:sz w:val="18"/>
          <w:szCs w:val="18"/>
          <w:color w:val="auto"/>
        </w:rPr>
        <w:t>, of this quarterly report on Form 10-Q, we have initiated lawsuits to enforce our patent rights against certain generic pharmaceutical companies.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preparation of our condensed consolidated financial statements requires us to make estimates and assumptions that affect the reported amounts of assets and liabilities and the disclosure of contingent assets and liabilities at the date of our financial statements, as well as the reported revenues and expenses during the reported periods. We base our estimates on historical experience and on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17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With the exception of the accounting related to our lease agreements as a result of adoption of the new lease accounting standard on January 1, 2019, there have been no significant changes in our critical accounting policies including estimates, assumptions and judgments from those described in Item 7,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included in our annual report on Form 10-K for the fiscal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2018. A summary of our significant accounting policies appears in the notes to our audited consolidated financial statements included in our annual report on Form 10-K for the fiscal year ended December 31, 2018. We believe that the following accounting policies are important to understanding and evaluating our reported financial results, and we have accordingly included them in this discussion.</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Leases</w:t>
      </w:r>
      <w:r>
        <w:rPr>
          <w:rFonts w:ascii="Arial" w:cs="Arial" w:eastAsia="Arial" w:hAnsi="Arial"/>
          <w:sz w:val="16"/>
          <w:szCs w:val="16"/>
          <w:color w:val="auto"/>
        </w:rPr>
        <w:t>. In accordance with Accounting Standards Codification (ASC) 842,</w:t>
      </w:r>
      <w:r>
        <w:rPr>
          <w:rFonts w:ascii="Arial" w:cs="Arial" w:eastAsia="Arial" w:hAnsi="Arial"/>
          <w:sz w:val="16"/>
          <w:szCs w:val="16"/>
          <w:i w:val="1"/>
          <w:iCs w:val="1"/>
          <w:color w:val="auto"/>
        </w:rPr>
        <w:t xml:space="preserve"> Leases</w:t>
      </w:r>
      <w:r>
        <w:rPr>
          <w:rFonts w:ascii="Arial" w:cs="Arial" w:eastAsia="Arial" w:hAnsi="Arial"/>
          <w:sz w:val="16"/>
          <w:szCs w:val="16"/>
          <w:color w:val="auto"/>
        </w:rPr>
        <w:t>, effective January 1, 2019, we determine if an arrangement contains a lease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at inception. Right-of-use (ROU) assets represent the our right to use an underlying asset for the lease term and lease liabilities represent the Company's obligation to make lease payments arising from that lease. For leases with a term greater than 12 months, ROU assets and liabilities are recognized at the lease commencement date based on the estimated present value of lease payments over the lease term. The lease term includes the option to extend the lease when it is reasonably certain we will exercise that option. We do not combine lease and non-lease elements for office leases. For existing leases as of January 1, 2019, executory costs are excluded from lease expense, which is consistent with our accounting under ASC 840, </w:t>
      </w:r>
      <w:r>
        <w:rPr>
          <w:rFonts w:ascii="Arial" w:cs="Arial" w:eastAsia="Arial" w:hAnsi="Arial"/>
          <w:sz w:val="16"/>
          <w:szCs w:val="16"/>
          <w:i w:val="1"/>
          <w:iCs w:val="1"/>
          <w:color w:val="auto"/>
        </w:rPr>
        <w:t>Leases</w:t>
      </w:r>
      <w:r>
        <w:rPr>
          <w:rFonts w:ascii="Arial" w:cs="Arial" w:eastAsia="Arial" w:hAnsi="Arial"/>
          <w:sz w:val="16"/>
          <w:szCs w:val="16"/>
          <w:color w:val="auto"/>
        </w:rPr>
        <w:t>. For all leases entered into after January 1, 2019, executory costs are allocated between lease and non-lease elements based upon their relative stand-alone prices.</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When available, we use the rate implicit in the lease to discount lease payments to present value; however, most of our leases do not provide a readily determinable implicit rate. Therefore, we use our incremental borrowing rate based on information available at the lease commencement date in determining the present value of lease payments. Our incremental borrowing rate is derived from information available at the lease commencement date in determining the present value of lease payments. Since we do not have outstanding debt that could provide an indication of the appropriate discount rate we used publicly available data for instruments with similar characteristics when calculating our incremental borrowing rates. In making this estimation we considered market comparable data on companies with similar credit rating, secured contracts and contract length terms. We use the lease term to determine the incremental borrowing rate.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i w:val="1"/>
          <w:iCs w:val="1"/>
          <w:color w:val="auto"/>
        </w:rPr>
        <w:t>Net Product Sales</w:t>
      </w:r>
      <w:r>
        <w:rPr>
          <w:rFonts w:ascii="Arial" w:cs="Arial" w:eastAsia="Arial" w:hAnsi="Arial"/>
          <w:sz w:val="16"/>
          <w:szCs w:val="16"/>
          <w:color w:val="auto"/>
        </w:rPr>
        <w:t>. Our net product sales consist of sales of HETLIOZ</w:t>
      </w:r>
      <w:r>
        <w:rPr>
          <w:rFonts w:ascii="Arial" w:cs="Arial" w:eastAsia="Arial" w:hAnsi="Arial"/>
          <w:sz w:val="19"/>
          <w:szCs w:val="19"/>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and sales of Fanapt</w:t>
      </w:r>
      <w:r>
        <w:rPr>
          <w:rFonts w:ascii="Arial" w:cs="Arial" w:eastAsia="Arial" w:hAnsi="Arial"/>
          <w:sz w:val="19"/>
          <w:szCs w:val="19"/>
          <w:color w:val="auto"/>
          <w:vertAlign w:val="superscript"/>
        </w:rPr>
        <w:t>®</w:t>
      </w:r>
      <w:r>
        <w:rPr>
          <w:rFonts w:ascii="Arial" w:cs="Arial" w:eastAsia="Arial" w:hAnsi="Arial"/>
          <w:sz w:val="16"/>
          <w:szCs w:val="16"/>
          <w:color w:val="auto"/>
        </w:rPr>
        <w:t>. In accordance with ASC 606,</w:t>
      </w:r>
      <w:r>
        <w:rPr>
          <w:rFonts w:ascii="Arial" w:cs="Arial" w:eastAsia="Arial" w:hAnsi="Arial"/>
          <w:sz w:val="16"/>
          <w:szCs w:val="16"/>
          <w:i w:val="1"/>
          <w:iCs w:val="1"/>
          <w:color w:val="auto"/>
        </w:rPr>
        <w:t xml:space="preserve"> Revenue from Contracts with Customers</w:t>
      </w:r>
      <w:r>
        <w:rPr>
          <w:rFonts w:ascii="Arial" w:cs="Arial" w:eastAsia="Arial" w:hAnsi="Arial"/>
          <w:sz w:val="16"/>
          <w:szCs w:val="16"/>
          <w:color w:val="auto"/>
        </w:rPr>
        <w:t>, which we adopted January 1, 2018, we account for a contract when it has approval and commitment from both parties, the rights of the parties are</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identified, payment terms are identified, the contract has commercial substance and collectability of consideration is probable. We recognize revenue when control of the product is transferred to the customer in an amount that reflects the consideration we expect to be entitled to in exchange for those product sales, which is typically once the product physically arrives at the customer. Sales, value add, and usage-based taxes are excluded from revenues.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HETLIOZ</w:t>
      </w:r>
      <w:r>
        <w:rPr>
          <w:rFonts w:ascii="Arial" w:cs="Arial" w:eastAsia="Arial" w:hAnsi="Arial"/>
          <w:sz w:val="19"/>
          <w:szCs w:val="19"/>
          <w:color w:val="auto"/>
          <w:vertAlign w:val="superscript"/>
        </w:rPr>
        <w:t>®</w:t>
      </w:r>
      <w:r>
        <w:rPr>
          <w:rFonts w:ascii="Arial" w:cs="Arial" w:eastAsia="Arial" w:hAnsi="Arial"/>
          <w:sz w:val="16"/>
          <w:szCs w:val="16"/>
          <w:color w:val="auto"/>
        </w:rPr>
        <w:t xml:space="preserve"> is available in the U.S. for distribution through a limited number of specialty pharmacies, and is not available in retail pharmacies. Fanapt</w:t>
      </w:r>
      <w:r>
        <w:rPr>
          <w:rFonts w:ascii="Arial" w:cs="Arial" w:eastAsia="Arial" w:hAnsi="Arial"/>
          <w:sz w:val="19"/>
          <w:szCs w:val="19"/>
          <w:color w:val="auto"/>
          <w:vertAlign w:val="superscript"/>
        </w:rPr>
        <w:t>®</w:t>
      </w:r>
      <w:r>
        <w:rPr>
          <w:rFonts w:ascii="Arial" w:cs="Arial" w:eastAsia="Arial" w:hAnsi="Arial"/>
          <w:sz w:val="16"/>
          <w:szCs w:val="16"/>
          <w:color w:val="auto"/>
        </w:rPr>
        <w:t xml:space="preserve"> is available in the U.S. for distribution through a limited number of wholesalers and is available in retail pharmacies. We invoice and record revenue when customers, specialty pharmacies and wholesalers, receive product from the third-party logistics warehouse which is the point at which control is transferred to the customer. Revenues and accounts receivable are concentrated with these customers. Outside the U.S., we commercially launched HETLIOZ</w:t>
      </w:r>
      <w:r>
        <w:rPr>
          <w:rFonts w:ascii="Arial" w:cs="Arial" w:eastAsia="Arial" w:hAnsi="Arial"/>
          <w:sz w:val="19"/>
          <w:szCs w:val="19"/>
          <w:color w:val="auto"/>
          <w:vertAlign w:val="superscript"/>
        </w:rPr>
        <w:t>®</w:t>
      </w:r>
      <w:r>
        <w:rPr>
          <w:rFonts w:ascii="Arial" w:cs="Arial" w:eastAsia="Arial" w:hAnsi="Arial"/>
          <w:sz w:val="16"/>
          <w:szCs w:val="16"/>
          <w:color w:val="auto"/>
        </w:rPr>
        <w:t xml:space="preserve"> in Germany in August 2016. We have also entered into a distribution agreement with Megapharm Ltd. for the commercialization of Fanapt</w:t>
      </w:r>
      <w:r>
        <w:rPr>
          <w:rFonts w:ascii="Arial" w:cs="Arial" w:eastAsia="Arial" w:hAnsi="Arial"/>
          <w:sz w:val="19"/>
          <w:szCs w:val="19"/>
          <w:color w:val="auto"/>
          <w:vertAlign w:val="superscript"/>
        </w:rPr>
        <w:t>®</w:t>
      </w:r>
      <w:r>
        <w:rPr>
          <w:rFonts w:ascii="Arial" w:cs="Arial" w:eastAsia="Arial" w:hAnsi="Arial"/>
          <w:sz w:val="16"/>
          <w:szCs w:val="16"/>
          <w:color w:val="auto"/>
        </w:rPr>
        <w:t xml:space="preserve"> in Israel.</w:t>
      </w:r>
    </w:p>
    <w:p>
      <w:pPr>
        <w:spacing w:after="0" w:line="11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transaction price is determined based upon the consideration to which we will be entitled in exchange for transferring product to the customer. Our product sales are recorded net of applicable discounts, rebates, chargebacks, service fees, co-pay assistance and product returns that are applicable for various government and commercial payors. We estimate the amount of variable consideration that should be included in the transaction price utilizing the most likely amount method and update our estimate at each reporting date. Variable consideration is included in the transaction price if, in our judgment, it is probable that a significant future reversal of cumulative revenue under the contract will not occur. Reserves for variable consideration for rebates, chargebacks and co-pay assistance are based upon the insurance benefits of the end customer, which are estimated using historical activity and, where available, actual and pending prescriptions for which we have validated the insurance benefits. Reserves for variable consideration are classified as product revenue allowances on the condensed consolidated balance sheets, with the exception of prompt-pay discounts which are classified as reductions of accounts receivable. The reserve for product returns for which the product may not be returned for a period of greater than one year from the balance sheet date is classified other non-current liabilities on the condensed consolidated balance sheets. Uncertainties related to variable consideration are generally resolved in the quarter subsequent to period end, with the exception of product returns which are resolved during the product expiry period specified in the customer contract. We currently record sales allowances for the following:</w:t>
      </w:r>
    </w:p>
    <w:p>
      <w:pPr>
        <w:spacing w:after="0" w:line="72" w:lineRule="exact"/>
        <w:rPr>
          <w:sz w:val="20"/>
          <w:szCs w:val="20"/>
          <w:color w:val="auto"/>
        </w:rPr>
      </w:pPr>
    </w:p>
    <w:p>
      <w:pPr>
        <w:ind w:left="340" w:right="200"/>
        <w:spacing w:after="0" w:line="342" w:lineRule="auto"/>
        <w:rPr>
          <w:sz w:val="20"/>
          <w:szCs w:val="20"/>
          <w:color w:val="auto"/>
        </w:rPr>
      </w:pPr>
      <w:r>
        <w:rPr>
          <w:rFonts w:ascii="Arial" w:cs="Arial" w:eastAsia="Arial" w:hAnsi="Arial"/>
          <w:sz w:val="16"/>
          <w:szCs w:val="16"/>
          <w:i w:val="1"/>
          <w:iCs w:val="1"/>
          <w:color w:val="auto"/>
        </w:rPr>
        <w:t xml:space="preserve">Prompt-pay: </w:t>
      </w:r>
      <w:r>
        <w:rPr>
          <w:rFonts w:ascii="Arial" w:cs="Arial" w:eastAsia="Arial" w:hAnsi="Arial"/>
          <w:sz w:val="16"/>
          <w:szCs w:val="16"/>
          <w:color w:val="auto"/>
        </w:rPr>
        <w:t>Specialty pharmacies and wholesalers are offered discounts for prompt payment. We expect that the specialty pharmacies and wholesalers</w:t>
      </w:r>
      <w:r>
        <w:rPr>
          <w:rFonts w:ascii="Arial" w:cs="Arial" w:eastAsia="Arial" w:hAnsi="Arial"/>
          <w:sz w:val="16"/>
          <w:szCs w:val="16"/>
          <w:i w:val="1"/>
          <w:iCs w:val="1"/>
          <w:color w:val="auto"/>
        </w:rPr>
        <w:t xml:space="preserve"> </w:t>
      </w:r>
      <w:r>
        <w:rPr>
          <w:rFonts w:ascii="Arial" w:cs="Arial" w:eastAsia="Arial" w:hAnsi="Arial"/>
          <w:sz w:val="16"/>
          <w:szCs w:val="16"/>
          <w:color w:val="auto"/>
        </w:rPr>
        <w:t>will earn prompt payment discounts and, therefore, deduct the full amount of these discounts from total product sales when revenues are recognized.</w:t>
      </w:r>
    </w:p>
    <w:p>
      <w:pPr>
        <w:spacing w:after="0" w:line="16" w:lineRule="exact"/>
        <w:rPr>
          <w:sz w:val="20"/>
          <w:szCs w:val="20"/>
          <w:color w:val="auto"/>
        </w:rPr>
      </w:pPr>
    </w:p>
    <w:p>
      <w:pPr>
        <w:ind w:left="340" w:right="280"/>
        <w:spacing w:after="0" w:line="259" w:lineRule="auto"/>
        <w:rPr>
          <w:sz w:val="20"/>
          <w:szCs w:val="20"/>
          <w:color w:val="auto"/>
        </w:rPr>
      </w:pPr>
      <w:r>
        <w:rPr>
          <w:rFonts w:ascii="Arial" w:cs="Arial" w:eastAsia="Arial" w:hAnsi="Arial"/>
          <w:sz w:val="18"/>
          <w:szCs w:val="18"/>
          <w:i w:val="1"/>
          <w:iCs w:val="1"/>
          <w:color w:val="auto"/>
        </w:rPr>
        <w:t xml:space="preserve">Rebates: </w:t>
      </w:r>
      <w:r>
        <w:rPr>
          <w:rFonts w:ascii="Arial" w:cs="Arial" w:eastAsia="Arial" w:hAnsi="Arial"/>
          <w:sz w:val="18"/>
          <w:szCs w:val="18"/>
          <w:color w:val="auto"/>
        </w:rPr>
        <w:t>Allowances for rebates include mandated and supplemental discounts under the Medicaid Drug Rebate Program as well as contracted rebate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with other payors. Rebate amounts owed after the final dispensing of the product to a benefit plan participant are based upon contractual agreements or legal requirements with public sector benefit providers, such as Medicaid. The allowance for rebates is based on statutory or contracted discount rates and expected patient utilization.</w:t>
      </w:r>
    </w:p>
    <w:p>
      <w:pPr>
        <w:spacing w:after="0" w:line="79" w:lineRule="exact"/>
        <w:rPr>
          <w:sz w:val="20"/>
          <w:szCs w:val="20"/>
          <w:color w:val="auto"/>
        </w:rPr>
      </w:pPr>
    </w:p>
    <w:p>
      <w:pPr>
        <w:ind w:left="340" w:right="60"/>
        <w:spacing w:after="0" w:line="257" w:lineRule="auto"/>
        <w:rPr>
          <w:sz w:val="20"/>
          <w:szCs w:val="20"/>
          <w:color w:val="auto"/>
        </w:rPr>
      </w:pPr>
      <w:r>
        <w:rPr>
          <w:rFonts w:ascii="Arial" w:cs="Arial" w:eastAsia="Arial" w:hAnsi="Arial"/>
          <w:sz w:val="18"/>
          <w:szCs w:val="18"/>
          <w:i w:val="1"/>
          <w:iCs w:val="1"/>
          <w:color w:val="auto"/>
        </w:rPr>
        <w:t xml:space="preserve">Chargebacks: </w:t>
      </w:r>
      <w:r>
        <w:rPr>
          <w:rFonts w:ascii="Arial" w:cs="Arial" w:eastAsia="Arial" w:hAnsi="Arial"/>
          <w:sz w:val="18"/>
          <w:szCs w:val="18"/>
          <w:color w:val="auto"/>
        </w:rPr>
        <w:t>Chargebacks are discounts that occur when contracted indirect customers purchase directly from specialty pharmacies and wholesalers.</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Contracted indirect customers, which currently consist primarily of Public Health Service institutions, non-profit clinics, and Federal government entities purchasing via the Federal Supply Schedule, generally purchase the product at a discounted price. The specialty pharmacy or wholesaler, in turn, charges back the difference between the price initially paid by the specialty pharmacy or wholesaler and the discounted price paid to the specialty pharmacy or wholesaler by the contracted customer.</w:t>
      </w:r>
    </w:p>
    <w:p>
      <w:pPr>
        <w:spacing w:after="0" w:line="80" w:lineRule="exact"/>
        <w:rPr>
          <w:sz w:val="20"/>
          <w:szCs w:val="20"/>
          <w:color w:val="auto"/>
        </w:rPr>
      </w:pPr>
    </w:p>
    <w:p>
      <w:pPr>
        <w:ind w:left="340" w:right="140"/>
        <w:spacing w:after="0" w:line="297" w:lineRule="auto"/>
        <w:rPr>
          <w:sz w:val="20"/>
          <w:szCs w:val="20"/>
          <w:color w:val="auto"/>
        </w:rPr>
      </w:pPr>
      <w:r>
        <w:rPr>
          <w:rFonts w:ascii="Arial" w:cs="Arial" w:eastAsia="Arial" w:hAnsi="Arial"/>
          <w:sz w:val="16"/>
          <w:szCs w:val="16"/>
          <w:i w:val="1"/>
          <w:iCs w:val="1"/>
          <w:color w:val="auto"/>
        </w:rPr>
        <w:t xml:space="preserve">Medicare Part D Coverage Gap: </w:t>
      </w:r>
      <w:r>
        <w:rPr>
          <w:rFonts w:ascii="Arial" w:cs="Arial" w:eastAsia="Arial" w:hAnsi="Arial"/>
          <w:sz w:val="16"/>
          <w:szCs w:val="16"/>
          <w:color w:val="auto"/>
        </w:rPr>
        <w:t>Medicare Part D prescription drug benefit mandates manufacturers to fund approximately 50% of the Medicare Part D</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coverage gap for prescription drugs sold to eligible patients through 2018. Public Law No. 115-123, also known as the Bipartisan Budget Act of 2018 enacted on February 9, 2018 increased the manufacturer discount from 50% to 70% effective on January 1, 2019 for applicable drugs. We account for the Medicare Part D coverage gap using a point of sale model. Estimates for expected Medicare Part D coverage gap are based in part on historical activity and, where available, actual and pending prescriptions for which we have validated the insurance benefits.</w:t>
      </w:r>
    </w:p>
    <w:p>
      <w:pPr>
        <w:spacing w:after="0" w:line="50" w:lineRule="exact"/>
        <w:rPr>
          <w:sz w:val="20"/>
          <w:szCs w:val="20"/>
          <w:color w:val="auto"/>
        </w:rPr>
      </w:pPr>
    </w:p>
    <w:p>
      <w:pPr>
        <w:ind w:left="340" w:right="80"/>
        <w:spacing w:after="0" w:line="264" w:lineRule="auto"/>
        <w:rPr>
          <w:sz w:val="20"/>
          <w:szCs w:val="20"/>
          <w:color w:val="auto"/>
        </w:rPr>
      </w:pPr>
      <w:r>
        <w:rPr>
          <w:rFonts w:ascii="Arial" w:cs="Arial" w:eastAsia="Arial" w:hAnsi="Arial"/>
          <w:sz w:val="18"/>
          <w:szCs w:val="18"/>
          <w:i w:val="1"/>
          <w:iCs w:val="1"/>
          <w:color w:val="auto"/>
        </w:rPr>
        <w:t xml:space="preserve">Service Fees: </w:t>
      </w:r>
      <w:r>
        <w:rPr>
          <w:rFonts w:ascii="Arial" w:cs="Arial" w:eastAsia="Arial" w:hAnsi="Arial"/>
          <w:sz w:val="18"/>
          <w:szCs w:val="18"/>
          <w:color w:val="auto"/>
        </w:rPr>
        <w:t>We receive sales order management, data and distribution services from certain customers. These fees are based on contracted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are known amounts. We accrue service fees at the time of revenue recognition, resulting in a reduction of product sales and the recognition of an accrued liability, unless it is a payment for a distinct good or service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from the customer in which case the fair value of those distinct goods or services are recorded as selling, general and administrative expense.</w:t>
      </w:r>
    </w:p>
    <w:p>
      <w:pPr>
        <w:spacing w:after="0" w:line="129"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i w:val="1"/>
          <w:iCs w:val="1"/>
          <w:color w:val="auto"/>
        </w:rPr>
        <w:t xml:space="preserve">Co-payment Assistance: </w:t>
      </w:r>
      <w:r>
        <w:rPr>
          <w:rFonts w:ascii="Arial" w:cs="Arial" w:eastAsia="Arial" w:hAnsi="Arial"/>
          <w:sz w:val="18"/>
          <w:szCs w:val="18"/>
          <w:color w:val="auto"/>
        </w:rPr>
        <w:t>Patients who have commercial insurance and meet certain eligibility requirements may receive co-payment assistance. Co-pay</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utilization is based on information provided by our third-party administrator.</w:t>
      </w:r>
    </w:p>
    <w:p>
      <w:pPr>
        <w:spacing w:after="0" w:line="62" w:lineRule="exact"/>
        <w:rPr>
          <w:sz w:val="20"/>
          <w:szCs w:val="20"/>
          <w:color w:val="auto"/>
        </w:rPr>
      </w:pPr>
    </w:p>
    <w:p>
      <w:pPr>
        <w:ind w:left="340" w:right="140"/>
        <w:spacing w:after="0" w:line="259" w:lineRule="auto"/>
        <w:rPr>
          <w:sz w:val="20"/>
          <w:szCs w:val="20"/>
          <w:color w:val="auto"/>
        </w:rPr>
      </w:pPr>
      <w:r>
        <w:rPr>
          <w:rFonts w:ascii="Arial" w:cs="Arial" w:eastAsia="Arial" w:hAnsi="Arial"/>
          <w:sz w:val="18"/>
          <w:szCs w:val="18"/>
          <w:i w:val="1"/>
          <w:iCs w:val="1"/>
          <w:color w:val="auto"/>
        </w:rPr>
        <w:t xml:space="preserve">Product Returns: </w:t>
      </w:r>
      <w:r>
        <w:rPr>
          <w:rFonts w:ascii="Arial" w:cs="Arial" w:eastAsia="Arial" w:hAnsi="Arial"/>
          <w:sz w:val="18"/>
          <w:szCs w:val="18"/>
          <w:color w:val="auto"/>
        </w:rPr>
        <w:t>Consistent with industry practice, we generally offer direct customers a limited right to return as defined within our returns policy. We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 several factors in the estimation process, including historical return activity, expiration dates of product shipped to specialty pharmacies, inventory levels within the distribution channel, product shelf life, prescription trends and other relevant factors. We do not expect returned goods to be resalable. There was no right of return asset as of June 30, 2019 or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sales discounts and allowance activity for the six months ended June 30, 2019:</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Rebates &amp; Chargebacks</w:t>
            </w:r>
          </w:p>
        </w:tc>
        <w:tc>
          <w:tcPr>
            <w:tcW w:w="2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Discounts,</w:t>
            </w:r>
          </w:p>
        </w:tc>
        <w:tc>
          <w:tcPr>
            <w:tcW w:w="400" w:type="dxa"/>
            <w:vAlign w:val="bottom"/>
          </w:tcPr>
          <w:p>
            <w:pPr>
              <w:spacing w:after="0"/>
              <w:rPr>
                <w:sz w:val="14"/>
                <w:szCs w:val="14"/>
                <w:color w:val="auto"/>
              </w:rPr>
            </w:pPr>
          </w:p>
        </w:tc>
        <w:tc>
          <w:tcPr>
            <w:tcW w:w="1300" w:type="dxa"/>
            <w:vAlign w:val="bottom"/>
            <w:vMerge w:val="restart"/>
          </w:tcPr>
          <w:p>
            <w:pPr>
              <w:jc w:val="right"/>
              <w:ind w:right="6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Returns and Other</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 2018</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31,834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Provision related to current period sales</w:t>
            </w:r>
          </w:p>
        </w:tc>
        <w:tc>
          <w:tcPr>
            <w:tcW w:w="1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30,932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12,573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43,505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for prior period sales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Credits/payments made</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(29,148)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(12,999)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(42,147)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June 30,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24,505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9,279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33,784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provision of $30.9 million for rebates and chargebacks for the six months ended June 30, 2019 primarily represents Medicaid rebates applicable to sales of Fanapt</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HETLIOZ</w:t>
      </w:r>
      <w:r>
        <w:rPr>
          <w:rFonts w:ascii="Arial" w:cs="Arial" w:eastAsia="Arial" w:hAnsi="Arial"/>
          <w:sz w:val="21"/>
          <w:szCs w:val="21"/>
          <w:color w:val="auto"/>
          <w:vertAlign w:val="superscript"/>
        </w:rPr>
        <w:t>®</w:t>
      </w:r>
      <w:r>
        <w:rPr>
          <w:rFonts w:ascii="Arial" w:cs="Arial" w:eastAsia="Arial" w:hAnsi="Arial"/>
          <w:sz w:val="18"/>
          <w:szCs w:val="18"/>
          <w:color w:val="auto"/>
        </w:rPr>
        <w:t>. The provision of $12.6 million for discounts, returns and other for the six months ended June 30, 2019 primarily represents wholesaler distribution fees applicable to sales of Fanapt</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to a lesser extent, co-pay assistance costs and prompt pay discounts applicable to the sales of both HETLIOZ</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Fanapt</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as well as estimated product returns of Fanapt</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149"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Compensation costs for all stock-based awards to employees and directors are measured based on the grant date fair value of those</w:t>
      </w:r>
      <w:r>
        <w:rPr>
          <w:rFonts w:ascii="Arial" w:cs="Arial" w:eastAsia="Arial" w:hAnsi="Arial"/>
          <w:sz w:val="16"/>
          <w:szCs w:val="16"/>
          <w:i w:val="1"/>
          <w:iCs w:val="1"/>
          <w:color w:val="auto"/>
        </w:rPr>
        <w:t xml:space="preserve"> </w:t>
      </w:r>
      <w:r>
        <w:rPr>
          <w:rFonts w:ascii="Arial" w:cs="Arial" w:eastAsia="Arial" w:hAnsi="Arial"/>
          <w:sz w:val="16"/>
          <w:szCs w:val="16"/>
          <w:color w:val="auto"/>
        </w:rPr>
        <w:t>awards and recognized over the period during which the employee or director is required to perform service in exchange for the award. We use the Black-Scholes-Merton option pricing model to determine the fair value of stock options. The determination of the fair value of stock options on the date of grant using an option pricing model is affected by our stock price as well as assumptions regarding a number of complex and subjective variables. These variables include the expected stock price volatility over the expected term of the awards, actual and projected employee stock option exercise behaviors, risk-free interest rate and expected dividends. Expected volatility rates are based on the historical volatility of our publicly traded common stock and other factors. The risk-free interest rates are based on the U.S. Treasury yield for a period consistent with the expected term of the option in effect at the time of the grant. We have not paid dividends to our stockholders since our inception (other than a dividend of preferred share purchase rights which was declared in September 2008) and do not plan to pay dividends in the foreseeable future. As stock-based compensation expense recognized in the condensed consolidated statements of operations is based on awards ultimately expected to vest, it has been reduced for estimated forfeitures. Forfeitures are estimated at the time of grant and revised, if necessary, in subsequent periods if actual forfeitures differ from those estimates.</w:t>
      </w:r>
    </w:p>
    <w:p>
      <w:pPr>
        <w:spacing w:after="0" w:line="17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Research and development expenses consist primarily of fees for services provided by third parties in connection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clinical trials, costs of contract manufacturing services for clinical trial use, milestone payments made under licensing agreements prior to regulatory approval, costs of materials used in clinical trials and research and development, costs for regulatory consultants and filings, depreciation of capital resources used to develop products, related facilities costs, and salaries, other employee-related costs and stock-based compensation for research and development personnel. We expense research and development costs as they are incurred for products in the development stage, including manufacturing costs and milestone payments made under license agreements prior to FDA approval. Upon and subsequent to FDA approval, manufacturing and milestone payments made under license agreements are capitalized. Milestone payments are accrued when it is deemed probable that the milestone event will be achieved. Costs related to the acquisition of intellectual property are expensed as incurred if the underlying technology is developed in connection with our research and development efforts and has no alternative future use.</w:t>
      </w:r>
    </w:p>
    <w:p>
      <w:pPr>
        <w:spacing w:after="0" w:line="182"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Clinical trials are inherently complex, often involve multiple service providers, and can include payments made to investigator physicians at study sites. Because billing for services often lags delivery of service by a substantial amount of time, we often are required to estimate a significant portion of our accrued clinical expenses. Our assessments include, but are not limited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180" w:firstLine="8"/>
        <w:spacing w:after="0" w:line="259" w:lineRule="auto"/>
        <w:tabs>
          <w:tab w:leader="none" w:pos="2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evaluation by the project manager of the work that has been completed during the period, (ii) measurement of progress prepared internally and/or provided by the third-party service provider, (iii) analyses of data that justify the progress, and (iv) management’s judgment. In the event that we do not identify certain costs that have begun to be incurred or we under- or over-estimate the level of services performed or the costs of such services, our reported expenses for such period would be too low or too high.</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Intangible Assets</w:t>
      </w:r>
      <w:r>
        <w:rPr>
          <w:rFonts w:ascii="Arial" w:cs="Arial" w:eastAsia="Arial" w:hAnsi="Arial"/>
          <w:sz w:val="17"/>
          <w:szCs w:val="17"/>
          <w:color w:val="auto"/>
        </w:rPr>
        <w:t>. Our intangible assets consist of capitalized license costs for products approved by the FDA. We amortize our intangible assets on a straight-line basis over the estimated useful economic life of the related product patents. We assess the impairment of intangible assets whenever events or changes in circumstances indicate that the carrying value may not be recoverable. Factors we consider important which could trigger an impairment review include significant underperformance relative to expected historical or projected future operating results, a significant adverse change in legal or regulatory factors that could affect the value or patent life including our ability to defend and enforce patent claims and other intellectual property rights and significant negative industry or economic trends. When we determine that the carrying value of our intangible assets may not be recoverable based upon the existence of one or more of the indicators of impairment, we measure any impairment based on the amount that carrying value exceeds fair value. No impairments have been recognized on our intangible assets.</w:t>
      </w:r>
    </w:p>
    <w:p>
      <w:pPr>
        <w:spacing w:after="0" w:line="17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assess the need for a valuation allowance against our deferred tax asset each quarter through the review of all available positive and</w:t>
      </w:r>
      <w:r>
        <w:rPr>
          <w:rFonts w:ascii="Arial" w:cs="Arial" w:eastAsia="Arial" w:hAnsi="Arial"/>
          <w:sz w:val="16"/>
          <w:szCs w:val="16"/>
          <w:i w:val="1"/>
          <w:iCs w:val="1"/>
          <w:color w:val="auto"/>
        </w:rPr>
        <w:t xml:space="preserve"> </w:t>
      </w:r>
      <w:r>
        <w:rPr>
          <w:rFonts w:ascii="Arial" w:cs="Arial" w:eastAsia="Arial" w:hAnsi="Arial"/>
          <w:sz w:val="16"/>
          <w:szCs w:val="16"/>
          <w:color w:val="auto"/>
        </w:rPr>
        <w:t>negative evidence. Deferred tax assets are reduced by a tax valuation allowance when, in the opinion of management, it is more likely than not that some portion or all of the deferred tax assets will not be realized. Except for year-to-date 2019 and 2018 income, we have historically generated pretax losses in the U.S., both cumulatively and individually. The losses serve as strong evidence that it is more likely than not that deferred tax assets in the U.S. will not be realized in the future, and as a result of the losses and all other available positive and negative evidence we concluded that a full tax valuation allowance was required against all net deferred tax assets in the U.S. as of June 30, 2019 and December 31, 2018. If we begin to regularly generate pretax income, it is reasonably possible that the conclusion about the need for the valuation allowance could change in the near term. A reduction of the valuation allowance, in whole or in part, would result in a non-cash income tax benefit during the period of reduction. The potential timing and amount of any future valuation allowance release has yet to be determined and requires an analysis that is highly dependent upon historical and future projected earnings, among other factors. Any such adjustment could have a material impact on our finance position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footnote to the condensed consolidated financial statements included in Part I of this quarterly report on Form 10-Q for information on recent accounting pronouncements.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anticipate that our results of operations will fluctuate for the foreseeable future due to several factors, including our and our partners’ ability to successfully commercialize our products, any possible payments made or received pursuant to license or collaboration agreements, progress of our research and development efforts, the timing and outcome of clinical trials and related possible regulatory approvals. Since our inception, we have incurred significant losses resulting in an accumulated deficit of $325.3 million as of June 30, 2019. Our total stockholders’ equity was $296.7 million as of June 30, 2019.</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Total revenues increased by $11.7 million, or 25%, to $59.1 million for the three months ended June 30, 2019 compared to $47.4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2018. Revenues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6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7"/>
              </w:rPr>
              <w:t>Net</w:t>
            </w:r>
          </w:p>
        </w:tc>
        <w:tc>
          <w:tcPr>
            <w:tcW w:w="152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6"/>
                <w:szCs w:val="16"/>
                <w:color w:val="auto"/>
              </w:rPr>
            </w:pPr>
          </w:p>
        </w:tc>
        <w:tc>
          <w:tcPr>
            <w:tcW w:w="1180" w:type="dxa"/>
            <w:vAlign w:val="bottom"/>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HETLIOZ</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 sales, net</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37,835</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28,045</w:t>
            </w: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9,790</w:t>
            </w:r>
          </w:p>
        </w:tc>
        <w:tc>
          <w:tcPr>
            <w:tcW w:w="120" w:type="dxa"/>
            <w:vAlign w:val="bottom"/>
            <w:tcBorders>
              <w:top w:val="single" w:sz="8" w:color="CCEEFF"/>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Fanapt</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 sales, net</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21,225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19,305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1,920</w:t>
            </w:r>
          </w:p>
        </w:tc>
        <w:tc>
          <w:tcPr>
            <w:tcW w:w="120" w:type="dxa"/>
            <w:vAlign w:val="bottom"/>
            <w:tcBorders>
              <w:bottom w:val="single" w:sz="8" w:color="CCEEFF"/>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product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59,060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47,350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11,710</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HETLIOZ</w:t>
      </w:r>
      <w:r>
        <w:rPr>
          <w:rFonts w:ascii="Arial" w:cs="Arial" w:eastAsia="Arial" w:hAnsi="Arial"/>
          <w:sz w:val="19"/>
          <w:szCs w:val="19"/>
          <w:color w:val="auto"/>
          <w:vertAlign w:val="superscript"/>
        </w:rPr>
        <w:t>®</w:t>
      </w:r>
      <w:r>
        <w:rPr>
          <w:rFonts w:ascii="Arial" w:cs="Arial" w:eastAsia="Arial" w:hAnsi="Arial"/>
          <w:sz w:val="16"/>
          <w:szCs w:val="16"/>
          <w:color w:val="auto"/>
        </w:rPr>
        <w:t xml:space="preserve"> product sales, net increased by $9.8 million, or 35%, to $37.8 million for the three months ended June 30, 2019 compared to $28.0 million for the three months ended June 30, 2018. The increase to net product sales was attributable to an increase in volume and an increase in price net of deductions.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18" w:right="2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00"/>
        <w:spacing w:after="0" w:line="265" w:lineRule="auto"/>
        <w:rPr>
          <w:sz w:val="20"/>
          <w:szCs w:val="20"/>
          <w:color w:val="auto"/>
        </w:rPr>
      </w:pPr>
      <w:r>
        <w:rPr>
          <w:rFonts w:ascii="Arial" w:cs="Arial" w:eastAsia="Arial" w:hAnsi="Arial"/>
          <w:sz w:val="17"/>
          <w:szCs w:val="17"/>
          <w:color w:val="auto"/>
        </w:rPr>
        <w:t>Fanapt</w:t>
      </w:r>
      <w:r>
        <w:rPr>
          <w:rFonts w:ascii="Arial" w:cs="Arial" w:eastAsia="Arial" w:hAnsi="Arial"/>
          <w:sz w:val="20"/>
          <w:szCs w:val="20"/>
          <w:color w:val="auto"/>
          <w:vertAlign w:val="superscript"/>
        </w:rPr>
        <w:t>®</w:t>
      </w:r>
      <w:r>
        <w:rPr>
          <w:rFonts w:ascii="Arial" w:cs="Arial" w:eastAsia="Arial" w:hAnsi="Arial"/>
          <w:sz w:val="17"/>
          <w:szCs w:val="17"/>
          <w:color w:val="auto"/>
        </w:rPr>
        <w:t xml:space="preserve"> product sales, net increased by $1.9 million, or 10%, to $21.2 million for the three months ended June 30, 2019 compared to $19.3 million for the three months ended June 30, 2018. The increase to net product sales was attributable to an increase in price net of deductions.</w:t>
      </w:r>
    </w:p>
    <w:p>
      <w:pPr>
        <w:spacing w:after="0" w:line="17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increased by $1.2 million, or 22%, to $6.4 million for the three months ended June 30, 2019 compared to $5.2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30, 2018. Cost of goods sold includes third party manufacturing costs of product sold, third party royalty costs and distribution and other costs. Third party royalty costs were 10% and 5% of net product sales of HETLIOZ</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and Germany, respectively, and 9% of net product sales of Fanapt</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135"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addition to third party royalty costs, HETLIOZ</w:t>
      </w:r>
      <w:r>
        <w:rPr>
          <w:rFonts w:ascii="Arial" w:cs="Arial" w:eastAsia="Arial" w:hAnsi="Arial"/>
          <w:sz w:val="20"/>
          <w:szCs w:val="20"/>
          <w:color w:val="auto"/>
          <w:vertAlign w:val="superscript"/>
        </w:rPr>
        <w:t>®</w:t>
      </w:r>
      <w:r>
        <w:rPr>
          <w:rFonts w:ascii="Arial" w:cs="Arial" w:eastAsia="Arial" w:hAnsi="Arial"/>
          <w:sz w:val="17"/>
          <w:szCs w:val="17"/>
          <w:color w:val="auto"/>
        </w:rPr>
        <w:t xml:space="preserve"> and Fanapt</w:t>
      </w:r>
      <w:r>
        <w:rPr>
          <w:rFonts w:ascii="Arial" w:cs="Arial" w:eastAsia="Arial" w:hAnsi="Arial"/>
          <w:sz w:val="20"/>
          <w:szCs w:val="20"/>
          <w:color w:val="auto"/>
          <w:vertAlign w:val="superscript"/>
        </w:rPr>
        <w:t>®</w:t>
      </w:r>
      <w:r>
        <w:rPr>
          <w:rFonts w:ascii="Arial" w:cs="Arial" w:eastAsia="Arial" w:hAnsi="Arial"/>
          <w:sz w:val="17"/>
          <w:szCs w:val="17"/>
          <w:color w:val="auto"/>
        </w:rPr>
        <w:t xml:space="preserve"> cost of goods sold as a percentage of revenue depends upon our cost to manufacture inventory at normalized production levels with our third party manufacturers. We expect that, in the future, total HETLIOZ</w:t>
      </w:r>
      <w:r>
        <w:rPr>
          <w:rFonts w:ascii="Arial" w:cs="Arial" w:eastAsia="Arial" w:hAnsi="Arial"/>
          <w:sz w:val="20"/>
          <w:szCs w:val="20"/>
          <w:color w:val="auto"/>
          <w:vertAlign w:val="superscript"/>
        </w:rPr>
        <w:t>®</w:t>
      </w:r>
      <w:r>
        <w:rPr>
          <w:rFonts w:ascii="Arial" w:cs="Arial" w:eastAsia="Arial" w:hAnsi="Arial"/>
          <w:sz w:val="17"/>
          <w:szCs w:val="17"/>
          <w:color w:val="auto"/>
        </w:rPr>
        <w:t xml:space="preserve"> manufacturing costs included in cost of goods sold will continue to be less than 2% of our net product sales of HETLIOZ</w:t>
      </w:r>
      <w:r>
        <w:rPr>
          <w:rFonts w:ascii="Arial" w:cs="Arial" w:eastAsia="Arial" w:hAnsi="Arial"/>
          <w:sz w:val="20"/>
          <w:szCs w:val="20"/>
          <w:color w:val="auto"/>
          <w:vertAlign w:val="superscript"/>
        </w:rPr>
        <w:t>®</w:t>
      </w:r>
      <w:r>
        <w:rPr>
          <w:rFonts w:ascii="Arial" w:cs="Arial" w:eastAsia="Arial" w:hAnsi="Arial"/>
          <w:sz w:val="17"/>
          <w:szCs w:val="17"/>
          <w:color w:val="auto"/>
        </w:rPr>
        <w:t>. We expect that, in the future, total Fanapt</w:t>
      </w:r>
      <w:r>
        <w:rPr>
          <w:rFonts w:ascii="Arial" w:cs="Arial" w:eastAsia="Arial" w:hAnsi="Arial"/>
          <w:sz w:val="20"/>
          <w:szCs w:val="20"/>
          <w:color w:val="auto"/>
          <w:vertAlign w:val="superscript"/>
        </w:rPr>
        <w:t>®</w:t>
      </w:r>
      <w:r>
        <w:rPr>
          <w:rFonts w:ascii="Arial" w:cs="Arial" w:eastAsia="Arial" w:hAnsi="Arial"/>
          <w:sz w:val="17"/>
          <w:szCs w:val="17"/>
          <w:color w:val="auto"/>
        </w:rPr>
        <w:t xml:space="preserve"> manufacturing costs included in cost of goods sold will continue to be less than 3% of our net product sales of Fanapt</w:t>
      </w:r>
      <w:r>
        <w:rPr>
          <w:rFonts w:ascii="Arial" w:cs="Arial" w:eastAsia="Arial" w:hAnsi="Arial"/>
          <w:sz w:val="20"/>
          <w:szCs w:val="20"/>
          <w:color w:val="auto"/>
          <w:vertAlign w:val="superscript"/>
        </w:rPr>
        <w:t>®</w:t>
      </w:r>
      <w:r>
        <w:rPr>
          <w:rFonts w:ascii="Arial" w:cs="Arial" w:eastAsia="Arial" w:hAnsi="Arial"/>
          <w:sz w:val="17"/>
          <w:szCs w:val="17"/>
          <w:color w:val="auto"/>
        </w:rPr>
        <w:t>.</w:t>
      </w:r>
    </w:p>
    <w:p>
      <w:pPr>
        <w:spacing w:after="0" w:line="14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increased by $1.1 million, or 11%, to $11.0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2019 compared to $9.9 million for the three months ended June 30, 2018. The increase was due to an increase in clinical trial expenses associated with our tradipitant development programs and preclinical expenses associated with the CFTR programs as well as an increase in stock-based compensation expense. The following table summarizes the costs of our product development initiatives for the three months ended June 30, 2019 and 2018:</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3"/>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project costs (1)</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70"/>
        </w:trPr>
        <w:tc>
          <w:tcPr>
            <w:tcW w:w="8120" w:type="dxa"/>
            <w:vAlign w:val="bottom"/>
          </w:tcPr>
          <w:p>
            <w:pPr>
              <w:ind w:left="380"/>
              <w:spacing w:after="0"/>
              <w:rPr>
                <w:sz w:val="20"/>
                <w:szCs w:val="20"/>
                <w:color w:val="auto"/>
              </w:rPr>
            </w:pPr>
            <w:r>
              <w:rPr>
                <w:rFonts w:ascii="Arial" w:cs="Arial" w:eastAsia="Arial" w:hAnsi="Arial"/>
                <w:sz w:val="18"/>
                <w:szCs w:val="18"/>
                <w:color w:val="auto"/>
              </w:rPr>
              <w:t>HETLIOZ</w:t>
            </w:r>
            <w:r>
              <w:rPr>
                <w:rFonts w:ascii="Arial" w:cs="Arial" w:eastAsia="Arial" w:hAnsi="Arial"/>
                <w:sz w:val="21"/>
                <w:szCs w:val="21"/>
                <w:color w:val="auto"/>
                <w:vertAlign w:val="superscript"/>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1,987</w:t>
            </w:r>
          </w:p>
        </w:tc>
      </w:tr>
      <w:tr>
        <w:trPr>
          <w:trHeight w:val="270"/>
        </w:trPr>
        <w:tc>
          <w:tcPr>
            <w:tcW w:w="8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Fanapt</w:t>
            </w:r>
            <w:r>
              <w:rPr>
                <w:rFonts w:ascii="Arial" w:cs="Arial" w:eastAsia="Arial" w:hAnsi="Arial"/>
                <w:sz w:val="21"/>
                <w:szCs w:val="21"/>
                <w:color w:val="auto"/>
                <w:vertAlign w:val="superscript"/>
              </w:rPr>
              <w:t>®</w:t>
            </w: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894</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Tradipitant</w:t>
            </w: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4,706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4,372</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VTR-297</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628</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CFTR</w:t>
            </w: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790</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w:t>
            </w:r>
          </w:p>
        </w:tc>
      </w:tr>
      <w:tr>
        <w:trPr>
          <w:trHeight w:val="237"/>
        </w:trPr>
        <w:tc>
          <w:tcPr>
            <w:tcW w:w="8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9,332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8,855</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 project costs (1)</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316</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indirect overhead</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695</w:t>
            </w:r>
          </w:p>
        </w:tc>
      </w:tr>
      <w:tr>
        <w:trPr>
          <w:trHeight w:val="237"/>
        </w:trPr>
        <w:tc>
          <w:tcPr>
            <w:tcW w:w="8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1,011</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research and development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10,950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9,866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540" w:right="160" w:hanging="316"/>
        <w:spacing w:after="0" w:line="286"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record direct costs, including personnel costs and related benefits, on a project-by-project basis. Many of our research and development costs are not attributable to any individual project because we share resources across several development projects. We record indirect costs that support a number of our research and development activities in the aggregate, including stock-based compensation.</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expect to incur significant research and development expenses as we continue to develop our products. In addition, we expect to incur licensing costs in the future that could be substantial, as we continue our efforts to expand our product pipeline.</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by $3.5 million, or 13%, to $31.5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2019 compared to $28.0 million for the three months ended June 30, 2018. The increase was primarily the result of increased spend on corporate and legal related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r>
        <w:rPr>
          <w:rFonts w:ascii="Arial" w:cs="Arial" w:eastAsia="Arial" w:hAnsi="Arial"/>
          <w:sz w:val="18"/>
          <w:szCs w:val="18"/>
          <w:color w:val="auto"/>
        </w:rPr>
        <w:t>. Intangible asset amortization was $0.4 million for each of the three months ended June 30,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w:t>
      </w:r>
      <w:r>
        <w:rPr>
          <w:rFonts w:ascii="Arial" w:cs="Arial" w:eastAsia="Arial" w:hAnsi="Arial"/>
          <w:sz w:val="16"/>
          <w:szCs w:val="16"/>
          <w:color w:val="auto"/>
        </w:rPr>
        <w:t>. Other income was $1.6 million for the three months ended June 30, 2019 compared to $0.8 million for the three months ended June 30,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the result of a higher yield on investments.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As a result of the tax valuation allowance against deferred tax assets in the U.S., there was no expense (benefit)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pretax income for the three months ended June 30, 2019 and 2018. Taxes have been recorded related to certain U.S. state jurisdictions and non-U.S. income for the three months ended June 30, 2019 and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compared to six months ended June 30, 2018</w:t>
      </w:r>
    </w:p>
    <w:p>
      <w:pPr>
        <w:spacing w:after="0" w:line="117"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Total revenues increased by $15.8 million, or 17%, to $106.8 million for the six months ended June 30, 2019 compared to $90.9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2018. Revenues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Six Months Ended</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6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7"/>
              </w:rPr>
              <w:t>Net</w:t>
            </w:r>
          </w:p>
        </w:tc>
        <w:tc>
          <w:tcPr>
            <w:tcW w:w="152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6"/>
                <w:szCs w:val="16"/>
                <w:color w:val="auto"/>
              </w:rPr>
            </w:pPr>
          </w:p>
        </w:tc>
        <w:tc>
          <w:tcPr>
            <w:tcW w:w="1180" w:type="dxa"/>
            <w:vAlign w:val="bottom"/>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HETLIOZ</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 sales, net</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66,792</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53,468</w:t>
            </w: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13,324</w:t>
            </w:r>
          </w:p>
        </w:tc>
        <w:tc>
          <w:tcPr>
            <w:tcW w:w="120" w:type="dxa"/>
            <w:vAlign w:val="bottom"/>
            <w:tcBorders>
              <w:top w:val="single" w:sz="8" w:color="CCEEFF"/>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Fanapt</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 sales, net</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39,981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37,474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2,507</w:t>
            </w:r>
          </w:p>
        </w:tc>
        <w:tc>
          <w:tcPr>
            <w:tcW w:w="120" w:type="dxa"/>
            <w:vAlign w:val="bottom"/>
            <w:tcBorders>
              <w:bottom w:val="single" w:sz="8" w:color="CCEEFF"/>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product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106,773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90,942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15,831</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97" w:lineRule="auto"/>
        <w:rPr>
          <w:sz w:val="20"/>
          <w:szCs w:val="20"/>
          <w:color w:val="auto"/>
        </w:rPr>
      </w:pPr>
      <w:r>
        <w:rPr>
          <w:rFonts w:ascii="Arial" w:cs="Arial" w:eastAsia="Arial" w:hAnsi="Arial"/>
          <w:sz w:val="16"/>
          <w:szCs w:val="16"/>
          <w:color w:val="auto"/>
        </w:rPr>
        <w:t>HETLIOZ</w:t>
      </w:r>
      <w:r>
        <w:rPr>
          <w:rFonts w:ascii="Arial" w:cs="Arial" w:eastAsia="Arial" w:hAnsi="Arial"/>
          <w:sz w:val="19"/>
          <w:szCs w:val="19"/>
          <w:color w:val="auto"/>
          <w:vertAlign w:val="superscript"/>
        </w:rPr>
        <w:t>®</w:t>
      </w:r>
      <w:r>
        <w:rPr>
          <w:rFonts w:ascii="Arial" w:cs="Arial" w:eastAsia="Arial" w:hAnsi="Arial"/>
          <w:sz w:val="16"/>
          <w:szCs w:val="16"/>
          <w:color w:val="auto"/>
        </w:rPr>
        <w:t xml:space="preserve"> product sales, net increased by $13.3 million, or 25%, to $66.8 million for the six months ended June 30, 2019 compared to $53.5 million for the six months ended June 30, 2018. The increase to net product sales was attributable to an increase in volume and an increase in price net of deductions.</w:t>
      </w:r>
    </w:p>
    <w:p>
      <w:pPr>
        <w:spacing w:after="0" w:line="150"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Fanapt</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 sales, net increased by $2.5 million, or 7%, to $40.0 million for the six months ended June 30, 2019 compared to $37.5 million for the six months ended June 30, 2018. The increase to net product sales was attributable to an increase in price net of deductions.</w:t>
      </w:r>
    </w:p>
    <w:p>
      <w:pPr>
        <w:spacing w:after="0" w:line="204"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increased by $1.7 million, or 17%, to $11.5 million for the six months ended June 30, 2019 compared to $9.8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June 30, 2018. Cost of goods sold includes third party manufacturing costs of product sold, third party royalty costs and distribution and other costs. Third party royalty costs were 10% and 5% of net product sales of HETLIOZ</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and Germany, respectively, and 9% of net product sales of Fanapt</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135"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addition to third party royalty costs, HETLIOZ</w:t>
      </w:r>
      <w:r>
        <w:rPr>
          <w:rFonts w:ascii="Arial" w:cs="Arial" w:eastAsia="Arial" w:hAnsi="Arial"/>
          <w:sz w:val="20"/>
          <w:szCs w:val="20"/>
          <w:color w:val="auto"/>
          <w:vertAlign w:val="superscript"/>
        </w:rPr>
        <w:t>®</w:t>
      </w:r>
      <w:r>
        <w:rPr>
          <w:rFonts w:ascii="Arial" w:cs="Arial" w:eastAsia="Arial" w:hAnsi="Arial"/>
          <w:sz w:val="17"/>
          <w:szCs w:val="17"/>
          <w:color w:val="auto"/>
        </w:rPr>
        <w:t xml:space="preserve"> and Fanapt</w:t>
      </w:r>
      <w:r>
        <w:rPr>
          <w:rFonts w:ascii="Arial" w:cs="Arial" w:eastAsia="Arial" w:hAnsi="Arial"/>
          <w:sz w:val="20"/>
          <w:szCs w:val="20"/>
          <w:color w:val="auto"/>
          <w:vertAlign w:val="superscript"/>
        </w:rPr>
        <w:t>®</w:t>
      </w:r>
      <w:r>
        <w:rPr>
          <w:rFonts w:ascii="Arial" w:cs="Arial" w:eastAsia="Arial" w:hAnsi="Arial"/>
          <w:sz w:val="17"/>
          <w:szCs w:val="17"/>
          <w:color w:val="auto"/>
        </w:rPr>
        <w:t xml:space="preserve"> cost of goods sold as a percentage of revenue depends upon our cost to manufacture inventory at normalized production levels with our third party manufacturers. We expect that, in the future, total HETLIOZ</w:t>
      </w:r>
      <w:r>
        <w:rPr>
          <w:rFonts w:ascii="Arial" w:cs="Arial" w:eastAsia="Arial" w:hAnsi="Arial"/>
          <w:sz w:val="20"/>
          <w:szCs w:val="20"/>
          <w:color w:val="auto"/>
          <w:vertAlign w:val="superscript"/>
        </w:rPr>
        <w:t>®</w:t>
      </w:r>
      <w:r>
        <w:rPr>
          <w:rFonts w:ascii="Arial" w:cs="Arial" w:eastAsia="Arial" w:hAnsi="Arial"/>
          <w:sz w:val="17"/>
          <w:szCs w:val="17"/>
          <w:color w:val="auto"/>
        </w:rPr>
        <w:t xml:space="preserve"> manufacturing costs included in cost of goods sold will continue to be less than 2% of our net product sales of HETLIOZ</w:t>
      </w:r>
      <w:r>
        <w:rPr>
          <w:rFonts w:ascii="Arial" w:cs="Arial" w:eastAsia="Arial" w:hAnsi="Arial"/>
          <w:sz w:val="20"/>
          <w:szCs w:val="20"/>
          <w:color w:val="auto"/>
          <w:vertAlign w:val="superscript"/>
        </w:rPr>
        <w:t>®</w:t>
      </w:r>
      <w:r>
        <w:rPr>
          <w:rFonts w:ascii="Arial" w:cs="Arial" w:eastAsia="Arial" w:hAnsi="Arial"/>
          <w:sz w:val="17"/>
          <w:szCs w:val="17"/>
          <w:color w:val="auto"/>
        </w:rPr>
        <w:t>. We expect that, in the future, total Fanapt</w:t>
      </w:r>
      <w:r>
        <w:rPr>
          <w:rFonts w:ascii="Arial" w:cs="Arial" w:eastAsia="Arial" w:hAnsi="Arial"/>
          <w:sz w:val="20"/>
          <w:szCs w:val="20"/>
          <w:color w:val="auto"/>
          <w:vertAlign w:val="superscript"/>
        </w:rPr>
        <w:t>®</w:t>
      </w:r>
      <w:r>
        <w:rPr>
          <w:rFonts w:ascii="Arial" w:cs="Arial" w:eastAsia="Arial" w:hAnsi="Arial"/>
          <w:sz w:val="17"/>
          <w:szCs w:val="17"/>
          <w:color w:val="auto"/>
        </w:rPr>
        <w:t xml:space="preserve"> manufacturing costs included in cost of goods sold will continue to be less than 3% of our net product sales of Fanapt</w:t>
      </w:r>
      <w:r>
        <w:rPr>
          <w:rFonts w:ascii="Arial" w:cs="Arial" w:eastAsia="Arial" w:hAnsi="Arial"/>
          <w:sz w:val="20"/>
          <w:szCs w:val="20"/>
          <w:color w:val="auto"/>
          <w:vertAlign w:val="superscript"/>
        </w:rPr>
        <w:t>®</w:t>
      </w:r>
      <w:r>
        <w:rPr>
          <w:rFonts w:ascii="Arial" w:cs="Arial" w:eastAsia="Arial" w:hAnsi="Arial"/>
          <w:sz w:val="17"/>
          <w:szCs w:val="17"/>
          <w:color w:val="auto"/>
        </w:rPr>
        <w:t>.</w:t>
      </w:r>
    </w:p>
    <w:p>
      <w:pPr>
        <w:spacing w:after="0" w:line="145"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increased by $4.9 million, or 26%, to $24.2 million for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2019 compared to $19.3 million for the six months ended June 30, 2018. The increase was primarily due to an increase in clinical trial expenses associated with our tradipitant development programs and preclinical expenses associated with the CFTR programs as well as an increase in stock-based compensation expense, partially offset by a decrease in expenses associated with the HETLIOZ</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development programs. The following table summarizes the costs of our product development initiatives for the six months ended June 30, 2019 and 2018:</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582"/>
        </w:trPr>
        <w:tc>
          <w:tcPr>
            <w:tcW w:w="1100" w:type="dxa"/>
            <w:vAlign w:val="bottom"/>
            <w:tcBorders>
              <w:top w:val="single" w:sz="8" w:color="0000EE"/>
            </w:tcBorders>
          </w:tcPr>
          <w:p>
            <w:pPr>
              <w:spacing w:after="0"/>
              <w:rPr>
                <w:sz w:val="24"/>
                <w:szCs w:val="24"/>
                <w:color w:val="auto"/>
              </w:rPr>
            </w:pPr>
          </w:p>
        </w:tc>
        <w:tc>
          <w:tcPr>
            <w:tcW w:w="70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80" w:type="dxa"/>
            <w:vAlign w:val="bottom"/>
            <w:tcBorders>
              <w:bottom w:val="single" w:sz="8" w:color="auto"/>
            </w:tcBorders>
          </w:tcPr>
          <w:p>
            <w:pPr>
              <w:spacing w:after="0"/>
              <w:rPr>
                <w:sz w:val="24"/>
                <w:szCs w:val="24"/>
                <w:color w:val="auto"/>
              </w:rPr>
            </w:pPr>
          </w:p>
        </w:tc>
      </w:tr>
      <w:tr>
        <w:trPr>
          <w:trHeight w:val="152"/>
        </w:trPr>
        <w:tc>
          <w:tcPr>
            <w:tcW w:w="110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3"/>
                <w:szCs w:val="13"/>
                <w:color w:val="auto"/>
              </w:rPr>
            </w:pPr>
          </w:p>
        </w:tc>
        <w:tc>
          <w:tcPr>
            <w:tcW w:w="1080" w:type="dxa"/>
            <w:vAlign w:val="bottom"/>
          </w:tcPr>
          <w:p>
            <w:pPr>
              <w:jc w:val="right"/>
              <w:ind w:right="473"/>
              <w:spacing w:after="0" w:line="153" w:lineRule="exact"/>
              <w:rPr>
                <w:sz w:val="20"/>
                <w:szCs w:val="20"/>
                <w:color w:val="auto"/>
              </w:rPr>
            </w:pPr>
            <w:r>
              <w:rPr>
                <w:rFonts w:ascii="Arial" w:cs="Arial" w:eastAsia="Arial" w:hAnsi="Arial"/>
                <w:sz w:val="14"/>
                <w:szCs w:val="14"/>
                <w:b w:val="1"/>
                <w:bCs w:val="1"/>
                <w:color w:val="auto"/>
                <w:w w:val="89"/>
              </w:rPr>
              <w:t>June 30,</w:t>
            </w:r>
          </w:p>
        </w:tc>
      </w:tr>
      <w:tr>
        <w:trPr>
          <w:trHeight w:val="192"/>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Direct project costs (1)</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70"/>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HETLIOZ</w:t>
            </w:r>
            <w:r>
              <w:rPr>
                <w:rFonts w:ascii="Arial" w:cs="Arial" w:eastAsia="Arial" w:hAnsi="Arial"/>
                <w:sz w:val="21"/>
                <w:szCs w:val="21"/>
                <w:color w:val="auto"/>
                <w:vertAlign w:val="superscript"/>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4,164</w:t>
            </w:r>
          </w:p>
        </w:tc>
        <w:tc>
          <w:tcPr>
            <w:tcW w:w="10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6,045</w:t>
            </w:r>
          </w:p>
        </w:tc>
      </w:tr>
      <w:tr>
        <w:trPr>
          <w:trHeight w:val="270"/>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Fanapt</w:t>
            </w:r>
            <w:r>
              <w:rPr>
                <w:rFonts w:ascii="Arial" w:cs="Arial" w:eastAsia="Arial" w:hAnsi="Arial"/>
                <w:sz w:val="21"/>
                <w:szCs w:val="21"/>
                <w:color w:val="auto"/>
                <w:vertAlign w:val="superscript"/>
              </w:rPr>
              <w:t>®</w:t>
            </w: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2,125</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1,556</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Tradipitant</w:t>
            </w: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11,358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6,649</w:t>
            </w:r>
          </w:p>
        </w:tc>
      </w:tr>
      <w:tr>
        <w:trPr>
          <w:trHeight w:val="27"/>
        </w:trPr>
        <w:tc>
          <w:tcPr>
            <w:tcW w:w="110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VTR-297</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1,292</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CFTR</w:t>
            </w: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1,299</w:t>
            </w:r>
          </w:p>
        </w:tc>
      </w:tr>
      <w:tr>
        <w:trPr>
          <w:trHeight w:val="27"/>
        </w:trPr>
        <w:tc>
          <w:tcPr>
            <w:tcW w:w="110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w:t>
            </w:r>
          </w:p>
        </w:tc>
      </w:tr>
      <w:tr>
        <w:trPr>
          <w:trHeight w:val="237"/>
        </w:trPr>
        <w:tc>
          <w:tcPr>
            <w:tcW w:w="110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21,024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17,194</w:t>
            </w:r>
          </w:p>
        </w:tc>
      </w:tr>
      <w:tr>
        <w:trPr>
          <w:trHeight w:val="27"/>
        </w:trPr>
        <w:tc>
          <w:tcPr>
            <w:tcW w:w="110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Indirect project costs (1)</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637</w:t>
            </w:r>
          </w:p>
        </w:tc>
      </w:tr>
      <w:tr>
        <w:trPr>
          <w:trHeight w:val="27"/>
        </w:trPr>
        <w:tc>
          <w:tcPr>
            <w:tcW w:w="110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indirect overhead</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1,451</w:t>
            </w:r>
          </w:p>
        </w:tc>
      </w:tr>
      <w:tr>
        <w:trPr>
          <w:trHeight w:val="237"/>
        </w:trPr>
        <w:tc>
          <w:tcPr>
            <w:tcW w:w="110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3,204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2,088</w:t>
            </w:r>
          </w:p>
        </w:tc>
      </w:tr>
      <w:tr>
        <w:trPr>
          <w:trHeight w:val="27"/>
        </w:trPr>
        <w:tc>
          <w:tcPr>
            <w:tcW w:w="110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research and development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24,228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19,282</w:t>
            </w: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540" w:right="160" w:hanging="316"/>
        <w:spacing w:after="0" w:line="286"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record direct costs, including personnel costs and related benefits, on a project-by-project basis. Many of our research and development costs are not attributable to any individual project because we share resources across several development projects. We record indirect costs that support a number of our research and development activities in the aggregate, including stock-based compensation.</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expect to incur significant research and development expenses as we continue to develop our products. In addition, we expect to incur licensing costs in the future that could be substantial, as we continue our efforts to expand our product pipeline.</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by $7.7 million, or 14%, to $62.5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2019 compared to $54.8 million for the six months ended June 30, 2018. The increase was primarily the result of increased spend on corporate and legal related activities and investment in U.S. commercial capabilities.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Intangible asset amortization</w:t>
      </w:r>
      <w:r>
        <w:rPr>
          <w:rFonts w:ascii="Arial" w:cs="Arial" w:eastAsia="Arial" w:hAnsi="Arial"/>
          <w:sz w:val="17"/>
          <w:szCs w:val="17"/>
          <w:color w:val="auto"/>
        </w:rPr>
        <w:t>. Intangible asset amortization was $0.8 million for each of the six months ended June 30, 2019 and June 30, 2018.</w:t>
      </w:r>
    </w:p>
    <w:p>
      <w:pPr>
        <w:spacing w:after="0" w:line="23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Other income</w:t>
      </w:r>
      <w:r>
        <w:rPr>
          <w:rFonts w:ascii="Arial" w:cs="Arial" w:eastAsia="Arial" w:hAnsi="Arial"/>
          <w:sz w:val="18"/>
          <w:szCs w:val="18"/>
          <w:color w:val="auto"/>
        </w:rPr>
        <w:t>. Other income was $3.1 million for the six months ended June 30, 2019 compared to $1.4 million for the six months ended June 30,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primarily the result of an increase in investment income due to a higher yield on investments and an increase in our balance of marketable securities from the proceeds of the public offering of our common stock completed in March 2018.</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As a result of the tax valuation allowance against deferred tax assets in the U.S., there was no expense (benefit)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pretax income for the six months ended June 30, 2019 and 2018. Taxes have been recorded related to certain U.S. state jurisdictions and non-U.S. income for the six months ended June 30, 2019 and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of June 30, 2019, our total cash and cash equivalents and marketable securities (Cash) were $292.7 million compared to $257.4 million at December 31, 2018. Our cash and cash equivalents are deposits in operating accounts and highly liquid investments with an original maturity of 90 days or less at date of purchase and consist of investments in money market funds with commercial banks and financial institutions, government agencies and commercial paper of high-quality corporate issuers. Our marketable securities consist of investments in government sponsored and corporate enterprises, commercial paper and asset-backed securities.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4"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Our liquidity resources as of June 30, 2019 and December 31, 2018 are summarized as follows: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360" w:type="dxa"/>
            <w:vAlign w:val="bottom"/>
          </w:tcPr>
          <w:p>
            <w:pPr>
              <w:jc w:val="right"/>
              <w:ind w:right="31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61,005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and government agencies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105,887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69,270</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Corporate debt</w:t>
            </w: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123,580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105,910</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16,668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21,175</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marketable securities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246,135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196,355</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marketable securities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292,678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257,360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June 30, 2019, we maintained all of our Cash in two financial institutions. Deposits held with these institutions may exceed the amount of insurance provided on such deposits, but we do not anticipate any losses with respect to such deposits.</w:t>
      </w:r>
    </w:p>
    <w:p>
      <w:pPr>
        <w:spacing w:after="0" w:line="17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expect to incur substantial costs and expenses throughout 2019 and beyond in connection with our continued clinical development of tradipitant and our other products, U.S. commercial activities for HETLIOZ</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Fanapt</w:t>
      </w:r>
      <w:r>
        <w:rPr>
          <w:rFonts w:ascii="Arial" w:cs="Arial" w:eastAsia="Arial" w:hAnsi="Arial"/>
          <w:sz w:val="22"/>
          <w:szCs w:val="22"/>
          <w:color w:val="auto"/>
          <w:vertAlign w:val="superscript"/>
        </w:rPr>
        <w:t>®</w:t>
      </w:r>
      <w:r>
        <w:rPr>
          <w:rFonts w:ascii="Arial" w:cs="Arial" w:eastAsia="Arial" w:hAnsi="Arial"/>
          <w:sz w:val="16"/>
          <w:szCs w:val="16"/>
          <w:color w:val="auto"/>
        </w:rPr>
        <w:t>, the European commercial launch activities for HETLIOZ</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payments due upon achievement of milestones under our license agreements. Additionally, we continue to pursue market approval of HETLIOZ</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Fanapt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other regions. The actual costs to advance tradipitant and our research and development projects and commercial activities for HETLIOZ</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Fanapt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are difficult to estimate and may vary significantly. We believe that the upcoming activities associated with our tradipitant and other development programs will result in an increase in research and development expenses in the near term. Management believes that our existing funds will be sufficient to meet our operating plans for at least the next twelve months. Our future capital requirements and the adequacy of our available funds will depend on many factors, primarily including our ability to generate revenue, the scope and costs of our commercial, manufacturing and process development activities, the magnitude of our discovery, preclinical and clinical development programs, and potential costs to acquire or license the rights to additional products.</w:t>
      </w:r>
    </w:p>
    <w:p>
      <w:pPr>
        <w:spacing w:after="0" w:line="19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may need or desire to obtain additional capital to finance our operations through debt, equity or alternative financing arrangements. We may also seek capital through collaborations or partnerships with other companies. The issuance of debt could require us to grant liens on certain of our assets that may limit our flexibility and debt securities may be convertible into common stock. If we raise additional capital by issuing equity securities, the terms and prices for these financings may be much more favorable to the new investors than the terms obtained by our existing stockholders. These financings also may significantly dilute the ownership of our existing stockholders. If we are unable to obtain additional financing, we may be required to reduce the scope of our future activities which could harm our business, financial condition and operating results. There can be no assurance that any additional financing required in the future will be available on acceptable terms, if at all.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net cash flows from operating, investing and financing activities for the six months ended June 30, 2019 and 2018:</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Pr>
          <w:p>
            <w:pPr>
              <w:spacing w:after="0"/>
              <w:rPr>
                <w:sz w:val="13"/>
                <w:szCs w:val="13"/>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June 30, 2018</w:t>
            </w:r>
          </w:p>
        </w:tc>
        <w:tc>
          <w:tcPr>
            <w:tcW w:w="320" w:type="dxa"/>
            <w:vAlign w:val="bottom"/>
          </w:tcPr>
          <w:p>
            <w:pPr>
              <w:spacing w:after="0"/>
              <w:rPr>
                <w:sz w:val="13"/>
                <w:szCs w:val="13"/>
                <w:color w:val="auto"/>
              </w:rPr>
            </w:pPr>
          </w:p>
        </w:tc>
        <w:tc>
          <w:tcPr>
            <w:tcW w:w="1160" w:type="dxa"/>
            <w:vAlign w:val="bottom"/>
          </w:tcPr>
          <w:p>
            <w:pPr>
              <w:jc w:val="right"/>
              <w:ind w:right="532"/>
              <w:spacing w:after="0" w:line="153"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Non-cash charges</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6,706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6,769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change in operating assets and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20,955</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Operating activities</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30,158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6,029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24,129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Acquisition of intangible asset</w:t>
            </w:r>
          </w:p>
        </w:tc>
        <w:tc>
          <w:tcPr>
            <w:tcW w:w="2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purchases of marketable securities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(47,548)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(59,741)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12,193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36,746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proceeds from offering of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100,870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(100,870)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Proceeds from the exercise of stock options</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3,590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5,352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106,222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(102,632)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cash equivalents and restricted cash</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(41,762)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increase of $24.1 million in net cash provided by operating activities reflects an increase of $21.0 million from the net change in operating assets and liabilities and an increase of $3.2 million in net income. The increase of $21.0 million from the net change in operating assets and liabilities primarily relates to a decrease in accounts receivable attributable to the timing of shipments and payments and an increase in accounts payable and other liabilities attributable to the timing of activities and payments.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 as defined in Item 303(a)(4) of the Securities and Exchange Commission’s Regulation S-K.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noncancellable long-term contractual cash obligations as of June 30, 2019:</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Cash Payments Due by Year (1)(2)</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22"/>
                <w:szCs w:val="22"/>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2"/>
                <w:szCs w:val="22"/>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54"/>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50"/>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leases(3)</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10,669</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Purchase commitments(4)</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15,732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5,532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8,753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noncancellable long-term</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37,091</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6,799</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11,070</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3,297</w:t>
            </w:r>
          </w:p>
        </w:tc>
        <w:tc>
          <w:tcPr>
            <w:tcW w:w="1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2,836</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2,420</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10,669</w:t>
            </w: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contractual cash obligations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right="140" w:hanging="332"/>
        <w:spacing w:after="0" w:line="259"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table does not include potential future milestone obligations under our license agreement with Lilly for the exclusive rights to develop and commercialize tradipitant. As of June 30, 2019, remaining milestone obligations include a $2.0 million pre-NDA approval milestone due upon the filing of the first marketing authorization for tradipitant in either the U.S. or the E.U, $10.0 million and $5.0 million for the first approval of a marketing authorization for tradipitant in the U.S.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79" w:lineRule="exact"/>
        <w:rPr>
          <w:sz w:val="20"/>
          <w:szCs w:val="20"/>
          <w:color w:val="auto"/>
        </w:rPr>
      </w:pPr>
    </w:p>
    <w:p>
      <w:pPr>
        <w:ind w:left="340" w:right="740"/>
        <w:spacing w:after="0" w:line="387" w:lineRule="auto"/>
        <w:rPr>
          <w:sz w:val="20"/>
          <w:szCs w:val="20"/>
          <w:color w:val="auto"/>
        </w:rPr>
      </w:pPr>
      <w:r>
        <w:rPr>
          <w:rFonts w:ascii="Arial" w:cs="Arial" w:eastAsia="Arial" w:hAnsi="Arial"/>
          <w:sz w:val="16"/>
          <w:szCs w:val="16"/>
          <w:color w:val="auto"/>
        </w:rPr>
        <w:t xml:space="preserve">and European Union, respectively, and up to $80.0 million for sales milestones. See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footnote to the condensed consolidated financial statements included in Part I of this quarterly report on Form 10-Q for information on our license agreements.</w:t>
      </w:r>
    </w:p>
    <w:p>
      <w:pPr>
        <w:spacing w:after="0" w:line="1" w:lineRule="exact"/>
        <w:rPr>
          <w:sz w:val="20"/>
          <w:szCs w:val="20"/>
          <w:color w:val="auto"/>
        </w:rPr>
      </w:pPr>
    </w:p>
    <w:p>
      <w:pPr>
        <w:ind w:left="340" w:right="140" w:hanging="332"/>
        <w:spacing w:after="0" w:line="273"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This table does not include potential future milestone obligations under our license agreement with the University of California San Francisco for the exclusive rights to develop and commercialize a portfolio of CFTR activators and inhibitors. As of June 30, 2019, remaining milestone obligations include annual maintenance fees, $12.2 million for pre-NDA approval milestones and $33.0 million for future regulatory approval and sales milestones. Included in the $12.2 million in pre-NDA approval milestones is a $350,000 milestone due upon the conclusion of a Phase I study for each licensed product but not to exceed $1.1 million in total for the CFTR portfolio. See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footnote to the condensed consolidated financial statements included in Part I of this quarterly report on Form 10-Q for information on our license agreements.</w:t>
      </w:r>
    </w:p>
    <w:p>
      <w:pPr>
        <w:spacing w:after="0" w:line="70" w:lineRule="exact"/>
        <w:rPr>
          <w:rFonts w:ascii="Arial" w:cs="Arial" w:eastAsia="Arial" w:hAnsi="Arial"/>
          <w:sz w:val="17"/>
          <w:szCs w:val="17"/>
          <w:color w:val="auto"/>
        </w:rPr>
      </w:pPr>
    </w:p>
    <w:p>
      <w:pPr>
        <w:ind w:left="340" w:right="260" w:hanging="332"/>
        <w:spacing w:after="0" w:line="25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Operating leases include the minimum lease payments for our operating lease liabilities. This table does not include obligations under short-term lease agreements, variable payments for building maintenance and other services and executory costs associated with our operating lease agreements. See </w:t>
      </w:r>
      <w:r>
        <w:rPr>
          <w:rFonts w:ascii="Arial" w:cs="Arial" w:eastAsia="Arial" w:hAnsi="Arial"/>
          <w:sz w:val="18"/>
          <w:szCs w:val="18"/>
          <w:i w:val="1"/>
          <w:iCs w:val="1"/>
          <w:color w:val="auto"/>
        </w:rPr>
        <w:t xml:space="preserve">Leases </w:t>
      </w:r>
      <w:r>
        <w:rPr>
          <w:rFonts w:ascii="Arial" w:cs="Arial" w:eastAsia="Arial" w:hAnsi="Arial"/>
          <w:sz w:val="18"/>
          <w:szCs w:val="18"/>
          <w:color w:val="auto"/>
        </w:rPr>
        <w:t>footnote to the condensed consolidated financial statements included in Part I of this quarterly report on Form 10-Q for information on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leases.</w:t>
      </w:r>
    </w:p>
    <w:p>
      <w:pPr>
        <w:spacing w:after="0" w:line="78" w:lineRule="exact"/>
        <w:rPr>
          <w:rFonts w:ascii="Arial" w:cs="Arial" w:eastAsia="Arial" w:hAnsi="Arial"/>
          <w:sz w:val="18"/>
          <w:szCs w:val="18"/>
          <w:color w:val="auto"/>
        </w:rPr>
      </w:pPr>
    </w:p>
    <w:p>
      <w:pPr>
        <w:ind w:left="340" w:right="100" w:hanging="332"/>
        <w:spacing w:after="0" w:line="276"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Purchase commitments include noncancellable purchase commitments for agreements longer than one year and primarily relate to commitments for advertising and data services. This table does not include various other long-term agreements entered into for services with other third party vendors due to the cancelable nature of the services. Additionally, this table does not include rebates, chargebacks or discounts recorded as liabilities at the time that product sales are recognized as revenue. See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footnote to the condensed consolidated financial statements included in Part I of this quarterly report on Form 10-Q for information on our purchase commitments.</w:t>
      </w:r>
    </w:p>
    <w:p>
      <w:pPr>
        <w:spacing w:after="0" w:line="200" w:lineRule="exact"/>
        <w:rPr>
          <w:sz w:val="20"/>
          <w:szCs w:val="20"/>
          <w:color w:val="auto"/>
        </w:rPr>
      </w:pPr>
    </w:p>
    <w:p>
      <w:pPr>
        <w:spacing w:after="0" w:line="23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exposure to market risk is currently confined to our cash and cash equivalents, marketable securities and restricted cash. We currently do not hedge interest rate exposure. We have not used derivative financial instruments for speculation or trading purposes. Because of the short-term maturities of our cash and cash equivalents and marketable securities, we do not believe that an increase in market rates would have any significant impact on the realized value of our investments.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We deposit our cash with financial institutions that we consider to be of high credit quality and purchase marketable securities which are generally investment grade, liquid, short-term fixed income securities and money-market instruments denominated in U.S. dollars. Our marketable securities consist of certificates of deposit, commercial paper, corporate notes, asset-backed securities and U.S. government agency notes.</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Revenues and accounts receivable are concentrated with specialty pharmacies and wholesalers. There were five major customers that each accounted for more than 10% of total revenues and, as a group, represented 96% of total revenues for the six months ended June 30, 2019. There were five major customers that each accounted for more than 10% of accounts receivable and, as a group, represented 93% of total accounts receivable at June 30, 2019. We mitigate our credit risk relating to accounts receivable from customers by performing ongoing credit evaluations.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exposed to risks related to changes in foreign currency exchange rates relating to our foreign operations. The functional currency of our international subsidiaries is the local currency. We are exposed to foreign currency risk to the extent that we enter into transactions denominated in currencies other than our subsidiaries’ respective functional currencies. We are also exposed to unfavorable fluctuations of the U.S. dollar, which is our reporting currency, against the currencies of our operating subsidiaries when their respective financial statements are translated into U.S. dollars for inclusion in our condensed consolidated financial statements. We do not currently hedge our foreign currency exchange rate risk. Foreign currency has not had a material impact on our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Inflation has not had a material impact on our results of operations.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(as defined in Rules 13a-15(e) and 15d-15(e) under the Securities Exchange Act of 1934, as amended (Exchange Act)) as of June 30, 2019. Based upon that evaluation, our Chief Executive Officer and Chief Financial Officer concluded that our disclosure controls and procedures are effective as of June 30, 2019, the end of the period covered by this quarterly report, to ensure that the information required to be disclosed by us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Rules 13a-15(f) and 15d-15(f) under the Exchange Act) during the second quarter of 2019 that has materially affected, or is reasonably likely to materially affect, our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9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spacing w:after="0" w:line="260" w:lineRule="auto"/>
        <w:rPr>
          <w:sz w:val="20"/>
          <w:szCs w:val="20"/>
          <w:color w:val="auto"/>
        </w:rPr>
      </w:pPr>
      <w:r>
        <w:rPr>
          <w:rFonts w:ascii="Arial" w:cs="Arial" w:eastAsia="Arial" w:hAnsi="Arial"/>
          <w:sz w:val="17"/>
          <w:szCs w:val="17"/>
          <w:i w:val="1"/>
          <w:iCs w:val="1"/>
          <w:color w:val="auto"/>
        </w:rPr>
        <w:t>Fanapt</w:t>
      </w:r>
      <w:r>
        <w:rPr>
          <w:rFonts w:ascii="Arial" w:cs="Arial" w:eastAsia="Arial" w:hAnsi="Arial"/>
          <w:sz w:val="20"/>
          <w:szCs w:val="20"/>
          <w:i w:val="1"/>
          <w:iCs w:val="1"/>
          <w:color w:val="auto"/>
          <w:vertAlign w:val="superscript"/>
        </w:rPr>
        <w:t>®</w:t>
      </w:r>
      <w:r>
        <w:rPr>
          <w:rFonts w:ascii="Arial" w:cs="Arial" w:eastAsia="Arial" w:hAnsi="Arial"/>
          <w:sz w:val="17"/>
          <w:szCs w:val="17"/>
          <w:color w:val="auto"/>
        </w:rPr>
        <w:t>. In June 2014, we filed suit against Roxane Laboratories, Inc. (Roxane) in the U.S. District Court for the District of Delaware (Delaware District</w:t>
      </w:r>
      <w:r>
        <w:rPr>
          <w:rFonts w:ascii="Arial" w:cs="Arial" w:eastAsia="Arial" w:hAnsi="Arial"/>
          <w:sz w:val="17"/>
          <w:szCs w:val="17"/>
          <w:i w:val="1"/>
          <w:iCs w:val="1"/>
          <w:color w:val="auto"/>
        </w:rPr>
        <w:t xml:space="preserve"> </w:t>
      </w:r>
      <w:r>
        <w:rPr>
          <w:rFonts w:ascii="Arial" w:cs="Arial" w:eastAsia="Arial" w:hAnsi="Arial"/>
          <w:sz w:val="17"/>
          <w:szCs w:val="17"/>
          <w:color w:val="auto"/>
        </w:rPr>
        <w:t>Court). The suit sought an adjudication that Roxane has infringed one or more claims of our U.S. Patent No. 8,586,610 (‘610 Patent) by submitting to the U.S. Food and Drug Administration (FDA) an Abbreviated New Drug Application (ANDA) for a generic version of Fanapt</w:t>
      </w:r>
      <w:r>
        <w:rPr>
          <w:rFonts w:ascii="Arial" w:cs="Arial" w:eastAsia="Arial" w:hAnsi="Arial"/>
          <w:sz w:val="20"/>
          <w:szCs w:val="20"/>
          <w:color w:val="auto"/>
          <w:vertAlign w:val="superscript"/>
        </w:rPr>
        <w:t>®</w:t>
      </w:r>
      <w:r>
        <w:rPr>
          <w:rFonts w:ascii="Arial" w:cs="Arial" w:eastAsia="Arial" w:hAnsi="Arial"/>
          <w:sz w:val="17"/>
          <w:szCs w:val="17"/>
          <w:color w:val="auto"/>
        </w:rPr>
        <w:t xml:space="preserve"> prior to the expiration of the ‘610 Patent in November 2027. In addition, pursuant to a settlement agreement with Novartis Pharma AG (Novartis), we assumed Novartis’ patent infringement action against Roxane in the Delaware District Court. That suit alleges that Roxane has infringed one or more claims of U.S. Patent RE39198 (‘198 Patent), which is licensed exclusively to us, by filing an ANDA for a generic version of Fanapt</w:t>
      </w:r>
      <w:r>
        <w:rPr>
          <w:rFonts w:ascii="Arial" w:cs="Arial" w:eastAsia="Arial" w:hAnsi="Arial"/>
          <w:sz w:val="20"/>
          <w:szCs w:val="20"/>
          <w:color w:val="auto"/>
          <w:vertAlign w:val="superscript"/>
        </w:rPr>
        <w:t>®</w:t>
      </w:r>
      <w:r>
        <w:rPr>
          <w:rFonts w:ascii="Arial" w:cs="Arial" w:eastAsia="Arial" w:hAnsi="Arial"/>
          <w:sz w:val="17"/>
          <w:szCs w:val="17"/>
          <w:color w:val="auto"/>
        </w:rPr>
        <w:t xml:space="preserve"> prior to the expiration of the ‘198 Patent in November 2016. These two cases against Roxane were consolidated by agreement of the parties and were tried together in a five-day bench trial that concluded in March 2016. In August 2016, the Delaware District Court ruled that we are entitled to a permanent injunction against Roxane enjoining Roxane from infringing the ‘610 Patent, including the manufacture, use, sale, offer to sell, sale, distribution or importation of any generic iloperidone product described in the ‘610 Patent ANDA until the expiration of the ‘610 Patent in November 2027. If we obtain pediatric exclusivity, the injunction against Roxane would be extended until May 2028 under the Delaware District Court’s order. In September 2016, Roxane filed a notice of appeal with the Federal Circuit Court of Appeals (Federal Circuit). In July 2017, Roxane, now a subsidiary of Hikma Pharmaceuticals PLC (Hikma), petitioned the Federal Circuit to substitute Roxane with new defendants West-Ward Pharmaceuticals International Limited and West-Ward Pharmaceuticals Corp. (each of which is a subsidiary of Hikma and both of which are referred to collectively herein as West-Ward). In April 2018, the Federal Circuit affirmed the Delaware District Court’s decision that West-Ward infringed the ‘610 Patent. In June 2018, West-Ward filed with the Federal Circuit a petition seeking rehearing en banc. The Federal Circuit invited us to respond to West-Ward’s petition; our response was filed in July 2018. In August 2018, the Federal Circuit denied West-Ward's petition for rehearing. In January 2019, West-Ward filed a petition in the United States Supreme Court for a writ of certiorari seeking reversal of the Federal Circuit’s decision. We submitted a response to that petition on February 12, 2019. On March 18, 2019, the United States Supreme Court invited the Solicitor General of the United States to file a brief in the matter expressing the views of the United States.</w:t>
      </w:r>
    </w:p>
    <w:p>
      <w:pPr>
        <w:spacing w:after="0" w:line="186"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In 2015, we filed six separate patent infringement lawsuits in the Delaware District Court against Roxane, Inventia Healthcare Pvt. Ltd. (Inventia), Lupin Ltd. and Lupin Pharmaceuticals, Inc. (Lupin), Taro Pharmaceuticals USA, Inc. and Taro Pharmaceutical Industries, Ltd. (Taro), and Apotex Inc. and Apotex Corp. (Apotex, and collectively with Roxane, Inventia, Lupin and Taro, the Defendants). The lawsuits each seek an adjudication that the respective Defendants infringed one or more claims of the ‘610 Patent and/or our U.S. Patent No. 9,138,432 (‘432 Patent) by submitting to the FDA an ANDA for a generic version of Fanapt</w:t>
      </w:r>
      <w:r>
        <w:rPr>
          <w:rFonts w:ascii="Arial" w:cs="Arial" w:eastAsia="Arial" w:hAnsi="Arial"/>
          <w:sz w:val="20"/>
          <w:szCs w:val="20"/>
          <w:color w:val="auto"/>
          <w:vertAlign w:val="superscript"/>
        </w:rPr>
        <w:t>®</w:t>
      </w:r>
      <w:r>
        <w:rPr>
          <w:rFonts w:ascii="Arial" w:cs="Arial" w:eastAsia="Arial" w:hAnsi="Arial"/>
          <w:sz w:val="17"/>
          <w:szCs w:val="17"/>
          <w:color w:val="auto"/>
        </w:rPr>
        <w:t xml:space="preserve"> prior to the expiration of the ‘610 Patent in November 2027 or the ‘432 Patent in September 2025. The Defendants denied infringement and counterclaimed for declaratory judgment of invalidity and noninfringement of the ‘610 Patent and the ‘432 Patent. Certain Defendants have since entered into agreements resolving these lawsuits, as discussed below.</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remaining matters have been stayed until the later of November 30, 2018 or 14 days after final disposition by the U.S. Supreme Court of any petition for a writ of certiorari filed by West-Ward. We entered into a confidential stipulation with each of Inventia and Lupin regarding any potential launch of Inventia’s and Lupin's generic ANDA products.</w:t>
      </w:r>
    </w:p>
    <w:p>
      <w:pPr>
        <w:spacing w:after="0" w:line="18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i w:val="1"/>
          <w:iCs w:val="1"/>
          <w:color w:val="auto"/>
        </w:rPr>
        <w:t>HETLIOZ</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In March 2018, we received a Paragraph IV certification notice letter from Teva Pharmaceuticals USA, Inc. (Teva) notifying us that Teva had</w:t>
      </w:r>
      <w:r>
        <w:rPr>
          <w:rFonts w:ascii="Arial" w:cs="Arial" w:eastAsia="Arial" w:hAnsi="Arial"/>
          <w:sz w:val="18"/>
          <w:szCs w:val="18"/>
          <w:i w:val="1"/>
          <w:iCs w:val="1"/>
          <w:color w:val="auto"/>
        </w:rPr>
        <w:t xml:space="preserve"> </w:t>
      </w:r>
      <w:r>
        <w:rPr>
          <w:rFonts w:ascii="Arial" w:cs="Arial" w:eastAsia="Arial" w:hAnsi="Arial"/>
          <w:sz w:val="18"/>
          <w:szCs w:val="18"/>
          <w:color w:val="auto"/>
        </w:rPr>
        <w:t>submitted an ANDA for HETLIOZ</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to the FDA requesting approval to market, sell and use a generic version of the 20mg HETLIOZ</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capsules for Non-24. In its notice letter, Teva alleges that our U.S. Patent No. RE46,604, U.S. Patent No. 9,060,995, U.S. Patent 9,539,234, U.S. Patent 9,549,913, U.S. Patent 9,730,910 and U.S. Patent 9,885,241 (collectively, the Vanda Patents), each of which is listed in the </w:t>
      </w:r>
      <w:r>
        <w:rPr>
          <w:rFonts w:ascii="Arial" w:cs="Arial" w:eastAsia="Arial" w:hAnsi="Arial"/>
          <w:sz w:val="18"/>
          <w:szCs w:val="18"/>
          <w:i w:val="1"/>
          <w:iCs w:val="1"/>
          <w:color w:val="auto"/>
        </w:rPr>
        <w:t>Approved Drug Products with Therapeutic Equivalence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Evaluations </w:t>
      </w:r>
      <w:r>
        <w:rPr>
          <w:rFonts w:ascii="Arial" w:cs="Arial" w:eastAsia="Arial" w:hAnsi="Arial"/>
          <w:sz w:val="18"/>
          <w:szCs w:val="18"/>
          <w:color w:val="auto"/>
        </w:rPr>
        <w:t>(Orange Book), which cover methods of using HETLIOZ</w:t>
      </w:r>
      <w:r>
        <w:rPr>
          <w:rFonts w:ascii="Arial" w:cs="Arial" w:eastAsia="Arial" w:hAnsi="Arial"/>
          <w:sz w:val="21"/>
          <w:szCs w:val="21"/>
          <w:color w:val="auto"/>
          <w:vertAlign w:val="superscript"/>
        </w:rPr>
        <w:t>®</w:t>
      </w:r>
      <w:r>
        <w:rPr>
          <w:rFonts w:ascii="Arial" w:cs="Arial" w:eastAsia="Arial" w:hAnsi="Arial"/>
          <w:sz w:val="18"/>
          <w:szCs w:val="18"/>
          <w:color w:val="auto"/>
        </w:rPr>
        <w:t>, are invalid, unenforceable and/or will not be infringed by Teva’s manufacture, use or</w:t>
      </w:r>
      <w:r>
        <w:rPr>
          <w:rFonts w:ascii="Arial" w:cs="Arial" w:eastAsia="Arial" w:hAnsi="Arial"/>
          <w:sz w:val="18"/>
          <w:szCs w:val="18"/>
          <w:i w:val="1"/>
          <w:iCs w:val="1"/>
          <w:color w:val="auto"/>
        </w:rPr>
        <w:t xml:space="preserve"> </w:t>
      </w:r>
      <w:r>
        <w:rPr>
          <w:rFonts w:ascii="Arial" w:cs="Arial" w:eastAsia="Arial" w:hAnsi="Arial"/>
          <w:sz w:val="18"/>
          <w:szCs w:val="18"/>
          <w:color w:val="auto"/>
        </w:rPr>
        <w:t>sale of the product described in its ANDA. We received similar notice letters in April 2018 from MSN Pharmaceuticals Inc. and MSN Laboratories Private Limited (together, MSN) and Apotex.</w:t>
      </w:r>
    </w:p>
    <w:p>
      <w:pPr>
        <w:spacing w:after="0" w:line="20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In April 2018, we filed a patent infringement lawsuit in the Delaware District Court against Teva and in May 2018, we filed patent infringement lawsuits in the Delaware District Court against MSN and Apotex. The lawsuits seek an adjudication that Teva, MSN and Apotex have infringed one or more claims of the Vanda Patents by submitting to the FDA an ANDA for a generic version of HETLIOZ</w:t>
      </w:r>
      <w:r>
        <w:rPr>
          <w:rFonts w:ascii="Arial" w:cs="Arial" w:eastAsia="Arial" w:hAnsi="Arial"/>
          <w:sz w:val="20"/>
          <w:szCs w:val="20"/>
          <w:color w:val="auto"/>
          <w:vertAlign w:val="superscript"/>
        </w:rPr>
        <w:t>®</w:t>
      </w:r>
      <w:r>
        <w:rPr>
          <w:rFonts w:ascii="Arial" w:cs="Arial" w:eastAsia="Arial" w:hAnsi="Arial"/>
          <w:sz w:val="17"/>
          <w:szCs w:val="17"/>
          <w:color w:val="auto"/>
        </w:rPr>
        <w:t xml:space="preserve"> prior to the expiration of the latest to expire of the Vanda Patents in 2034. The relief requested by us in the lawsuits includes requests for permanent injunctions preventing Teva, MSN and Apotex from infringing the asserted claims of the Vanda Patents by engaging in the manufacture, use, offer to sell, sale, importation or distribution of generic versions of HETLIOZ</w:t>
      </w:r>
      <w:r>
        <w:rPr>
          <w:rFonts w:ascii="Arial" w:cs="Arial" w:eastAsia="Arial" w:hAnsi="Arial"/>
          <w:sz w:val="20"/>
          <w:szCs w:val="20"/>
          <w:color w:val="auto"/>
          <w:vertAlign w:val="superscript"/>
        </w:rPr>
        <w:t>®</w:t>
      </w:r>
      <w:r>
        <w:rPr>
          <w:rFonts w:ascii="Arial" w:cs="Arial" w:eastAsia="Arial" w:hAnsi="Arial"/>
          <w:sz w:val="17"/>
          <w:szCs w:val="17"/>
          <w:color w:val="auto"/>
        </w:rPr>
        <w:t xml:space="preserve"> before the last expiration date of the Vanda Patents and for an order that any effective date of FDA approval of Teva, MSN, and Apotex’s generic versions of HETLIOZ</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be a date not earlier than the expiration of the Vanda Patents. The lawsuits automatically preclude the FDA from approving the submitted ANDAs until the earlier of seven and one-half years after the January 2014 approval of our NCE status application or entry of a district court decision finding the Vanda Patents invalid, unenforceable or not infringed. In June 2018, Teva, MSN and Apotex each answered our complaint, and Teva included counterclaims for declarations that the Vanda Patents are invalid. MSN included additional counterclaims for declarations that the Vanda Patents are not infringed. In July 2018, we answered Teva and MSN's counterclaims, denying their allegations.</w:t>
      </w:r>
    </w:p>
    <w:p>
      <w:pPr>
        <w:spacing w:after="0" w:line="197"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In October 2018, we received an additional Paragraph IV certification notice letter from Teva concerning its Orange Book listed U.S. Patent No. 10,071,977, which expires in 2035 (the ‘977 Patent). In November 2018, we received a similar additional Paragraph IV certification notice letter from Apotex concerning the ’977 Patent. In December 2018, we filed amended complaints against Teva, Apotex, and MSN alleging infringement of one or more claims of the ’977 Patent. The amended complaints seek an adjudication that Teva, Apotex, and MSN have infringed one or more claims of the ’977 Patent by submitting to FDA an ANDA for a generic version of HETLIOZ</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prior to the expiration of the ’977 Patent. The relief requested by us in the amended complaints includes requests for permanent injunctions preventing Teva, Apotex, and MSN from infringing the asserted claims of the ’977 Patent by engaging in the manufacture, use, offer to sell, sale, importation or distribution of generic versions of HETLIOZ</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before the expiration date of the ’977 Patent and for an order that any effective date of FDA approval of Teva, MSN, and Apotex’s generic versions of HETLIOZ</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be a date not earlier than the expiration of the ’977 Patent. In December 2018, Teva, MSN, and Apotex answered our amended complaints, and Teva and MSN included counterclaims for declarations that the ’977 Patent is invalid, and MSN included an additional counterclaim that the ’977 Patent is unenforceable for inequitable conduct. In January 2019, we answered Teva and MSN’s counterclaims. A trial date for these lawsuits has been set for September 2020.</w:t>
      </w:r>
    </w:p>
    <w:p>
      <w:pPr>
        <w:spacing w:after="0" w:line="18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February 2019, we received additional Paragraph IV certification notice letters separately from Teva and Apotex concerning our Orange Book listed U.S. Patent No. 10,149,829, which expires in 2033 (the ’829 Patent). In their notice letters, Teva and Apotex allege that the ’829 Patent, which covers methods of using HETLIOZ</w:t>
      </w:r>
      <w:r>
        <w:rPr>
          <w:rFonts w:ascii="Arial" w:cs="Arial" w:eastAsia="Arial" w:hAnsi="Arial"/>
          <w:sz w:val="25"/>
          <w:szCs w:val="25"/>
          <w:color w:val="auto"/>
          <w:vertAlign w:val="superscript"/>
        </w:rPr>
        <w:t>®</w:t>
      </w:r>
      <w:r>
        <w:rPr>
          <w:rFonts w:ascii="Arial" w:cs="Arial" w:eastAsia="Arial" w:hAnsi="Arial"/>
          <w:sz w:val="18"/>
          <w:szCs w:val="18"/>
          <w:color w:val="auto"/>
        </w:rPr>
        <w:t>, is invalid, unenforceable and will not be infringed by Teva’s and Apotex’s respective manufacture, use or sale of the product described in their respective ANDAs. In May 2019, we received an additional Paragraph IV certification notice letter from MSN concerning the ’977 and ’829 Patents. In the May 2019 notice letter, MSN alleges that the ’977 and ’829 Patents are invalid, unenforceable and will not be infringed by MSN’s manufacture, use or sale of the product described in its ANDA.</w:t>
      </w:r>
    </w:p>
    <w:p>
      <w:pPr>
        <w:spacing w:after="0" w:line="207"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In March 2019,April 2019 and May 2019, we filed separate patent infringement lawsuits in the Delaware District Court against Teva, Apotex and MSN, respectively. The lawsuits seek adjudications that Teva, Apotex and MSN have infringed one or more claims of the ’829 Patent by submitting to the FDA an ANDA for a generic version of HETLIOZ</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prior to the expiration of the ’829 Patent. The relief requested by us includes permanent injunctions preventing Teva, Apotex and MSN from infringing the asserted claims of the ’829 Patent by engaging in the manufacture, use, offer to sell, sale, importation or distribution of generic versions of HETLIOZ</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before the expiration of the ’829 Patent, and includes orders that any effective date of FDA approval of Teva, Apotex and MSN's generic versions of HETLIOZ</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be a date not earlier than the expiration of the ’829 Patent.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18" w:right="2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April 2019, Teva answered our complaint, in which Teva included a counterclaim for a declaration that the ’829 Patent is invalid. In May 2019, we answered Teva’s counterclaim. In May 2019, Apotex answered our complaint for the ’829 Patent. Also in May 2019, MSN answered our complaint, in which MSN included counterclaims for a declaration of non-infringement for the ’829 Patent and a declaration that the ’829 Patent is invalid. In June 2019, we answered MSN’s counterclaims.</w:t>
      </w:r>
    </w:p>
    <w:p>
      <w:pPr>
        <w:spacing w:after="0" w:line="187"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Other Matters</w:t>
      </w:r>
      <w:r>
        <w:rPr>
          <w:rFonts w:ascii="Arial" w:cs="Arial" w:eastAsia="Arial" w:hAnsi="Arial"/>
          <w:sz w:val="17"/>
          <w:szCs w:val="17"/>
          <w:color w:val="auto"/>
        </w:rPr>
        <w:t>. In April 2018, we submitted a protocol amendment to the FDA, proposing a 52-week open-label extension (OLE) period for patients who had</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completed the tradipitant Phase II clinical study (2301) in gastroparesis. In May 2018, based on feedback from the FDA, we amended the protocol limiting the duration of treatment in the 2301 study to a total of three months, while continuing to seek further dialogue with the FDA on extending the study duration to 52-weeks. As a part of this negotiation process, in September 2018, we submitted a new follow-on 52-week OLE protocol to the FDA (2302) for patients who had completed the 2301 study. While waiting for further feedback, no patients were ever enrolled in any study beyond 12 weeks. On December 19, 2018, the FDA imposed a partial clinical hold (PCH) on the two proposed studies, stating that we are required first to conduct additional chronic toxicity studies in canines, monkeys or minipigs before allowing patients access in any clinical protocol beyond 12 weeks. The original PCH was not based on any safety or efficacy data related to tradipitant. Rather, the FDA informed us that these additional toxicity studies are required by a guidance document. On February 5, 2019, we filed a lawsuit against the FDA in the United States District Court for the District of Columbia (DC District Court), challenging the FDA’s legal authority to issue the PCH, and seeking an order to set it aside. On February 14, 2019, the FDA filed a Motion for Voluntary Remand to the Agency and for a Stay of the Case. On March 14, 2019, the DC District Court granted the FDA’s request for voluntary remand and returned the matter to the FDA for further consideration. On April 26, 2019, the FDA provided its remand response, in which it indicated that, upon review of scientific literature and tradipitant data, it believes that a partial clinical hold continues to be appropriate until we have adequate safety data from a 9-month non-rodent toxicity study. After reviewing the FDA’s remand response, we continue to believe that additional chronic toxicity studies are unjustified, and that we have provided the FDA with sufficient information regarding the safety of tradipitant to justify the continued study of tradipitant in patients beyond 12 weeks, in accordance with applicable law and FDA regulations. In May 2019, we filed an amended complaint, and on July 10, 2019, we filed a Motion for Summary Judgment. We intend to continue vigorously pursuing our interests in the matter.</w:t>
      </w:r>
    </w:p>
    <w:p>
      <w:pPr>
        <w:spacing w:after="0" w:line="193"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In February 2019, a qui tam action filed against us was unsealed by order of the DC District Court. The qui tam action which was filed under seal in March 2017, was brought by a former employee of ours on behalf of the U.S., 28 states and the District of Columbia (collectively, the Plaintiff States) and the policyholders of certain insurance companies under the Federal False Claims Act and state law equivalents to the Federal False Claims Act and related state laws. The original complaint alleges that we violated these laws through the promotion and marketing of our products Fanapt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HETLIOZ</w:t>
      </w:r>
      <w:r>
        <w:rPr>
          <w:rFonts w:ascii="Arial" w:cs="Arial" w:eastAsia="Arial" w:hAnsi="Arial"/>
          <w:sz w:val="22"/>
          <w:szCs w:val="22"/>
          <w:color w:val="auto"/>
          <w:vertAlign w:val="superscript"/>
        </w:rPr>
        <w:t>®</w:t>
      </w:r>
      <w:r>
        <w:rPr>
          <w:rFonts w:ascii="Arial" w:cs="Arial" w:eastAsia="Arial" w:hAnsi="Arial"/>
          <w:sz w:val="16"/>
          <w:szCs w:val="16"/>
          <w:color w:val="auto"/>
        </w:rPr>
        <w:t>. The original complaint seeks, among other things, treble damages, civil penalties for each alleged false claim, and attorneys’ fees and costs.</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By virtue of the DC District Court having unsealed the original complaint, we learned that in January 2019, the U.S., as well as the Plaintiff States, filed notice of their election not to intervene in the qui tam action at that time. The U.S.’ and the Plaintiff States’ election not to intervene does not prevent the plaintiff/relator from litigating this action and the U.S. and the Plaintiff States may later seek to intervene in the action, including after review of the amended complaint.</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 xml:space="preserve">In May 2019, in the qui tam action filed against us in the DC District Court and titled </w:t>
      </w:r>
      <w:r>
        <w:rPr>
          <w:rFonts w:ascii="Arial" w:cs="Arial" w:eastAsia="Arial" w:hAnsi="Arial"/>
          <w:sz w:val="16"/>
          <w:szCs w:val="16"/>
          <w:i w:val="1"/>
          <w:iCs w:val="1"/>
          <w:color w:val="auto"/>
        </w:rPr>
        <w:t>United States ex rel. Richard Gardner v. Vanda Pharmaceuticals Inc.</w:t>
      </w:r>
      <w:r>
        <w:rPr>
          <w:rFonts w:ascii="Arial" w:cs="Arial" w:eastAsia="Arial" w:hAnsi="Arial"/>
          <w:sz w:val="16"/>
          <w:szCs w:val="16"/>
          <w:color w:val="auto"/>
        </w:rPr>
        <w:t>, the plaintiff, Richard Gardner, filed a Motion for Leave to File Document Under Seal, with an amended complaint attached. According to a filing unsealed on June 7, 2019, the U.S. Department of Justice (the DOJ) reviewed the amended complaint and reaffirmed its decision not to intervene in the qui tam action. In that filing, the DOJ also incorporated its prior filing indicating that neither the U.S. nor the Plaintiff States were intervening regarding the original complaint. The amended complaint is also brought on behalf of the Plaintiff States, and the policyholders of certain insurance companies under the Federal False Claims Act and related state laws. The amended complaint alleges that we violated these laws through the promotion and marketing of our products Fanapt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HETLIOZ</w:t>
      </w:r>
      <w:r>
        <w:rPr>
          <w:rFonts w:ascii="Arial" w:cs="Arial" w:eastAsia="Arial" w:hAnsi="Arial"/>
          <w:sz w:val="22"/>
          <w:szCs w:val="22"/>
          <w:color w:val="auto"/>
          <w:vertAlign w:val="superscript"/>
        </w:rPr>
        <w:t>®</w:t>
      </w:r>
      <w:r>
        <w:rPr>
          <w:rFonts w:ascii="Arial" w:cs="Arial" w:eastAsia="Arial" w:hAnsi="Arial"/>
          <w:sz w:val="16"/>
          <w:szCs w:val="16"/>
          <w:color w:val="auto"/>
        </w:rPr>
        <w:t>. The amended complaint seeks, among other things, treble damages, civil penalties for each alleged false claim, and attorneys’ fees and costs. The plaintiff may litigate this action and the DOJ and the Plaintiff States may later seek to intervene in the action. We have waived service of the amended complaint and intend to defend itself vigorously ourselves the case. Our initial response to the amended complaint is due on August 13, 2019.</w:t>
      </w:r>
    </w:p>
    <w:p>
      <w:pPr>
        <w:spacing w:after="0" w:line="177"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 xml:space="preserve">In February 2019, a securities class action, </w:t>
      </w:r>
      <w:r>
        <w:rPr>
          <w:rFonts w:ascii="Arial" w:cs="Arial" w:eastAsia="Arial" w:hAnsi="Arial"/>
          <w:sz w:val="17"/>
          <w:szCs w:val="17"/>
          <w:i w:val="1"/>
          <w:iCs w:val="1"/>
          <w:color w:val="auto"/>
        </w:rPr>
        <w:t>Gordon v. Vanda Pharmaceuticals Inc.</w:t>
      </w:r>
      <w:r>
        <w:rPr>
          <w:rFonts w:ascii="Arial" w:cs="Arial" w:eastAsia="Arial" w:hAnsi="Arial"/>
          <w:sz w:val="17"/>
          <w:szCs w:val="17"/>
          <w:color w:val="auto"/>
        </w:rPr>
        <w:t>, was filed in the U.S. District Court for the Eastern District of New York naming Vanda and certain of our officers as defendants. An amended complaint was filed on July 23, 2019. The amended complaint, filed on behalf of a purported stockholder, asserts claims on behalf of a putative class of all persons who purchased our publicly traded securities between November 4, 2015 through February 11, 2019, for alleged violations of Sections 10(b) and 20(a) of the Securities Exchange Act of 1934, as amended, and Rule 10b-5 promulgated thereunder. The amended complaint alleges that the defendants made false and misleading statements and/or omissions regarding Fanapt</w:t>
      </w:r>
      <w:r>
        <w:rPr>
          <w:rFonts w:ascii="Arial" w:cs="Arial" w:eastAsia="Arial" w:hAnsi="Arial"/>
          <w:sz w:val="24"/>
          <w:szCs w:val="24"/>
          <w:color w:val="auto"/>
          <w:vertAlign w:val="superscript"/>
        </w:rPr>
        <w:t>®</w:t>
      </w:r>
      <w:r>
        <w:rPr>
          <w:rFonts w:ascii="Arial" w:cs="Arial" w:eastAsia="Arial" w:hAnsi="Arial"/>
          <w:sz w:val="17"/>
          <w:szCs w:val="17"/>
          <w:color w:val="auto"/>
        </w:rPr>
        <w:t>, HETLIOZ</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our interactions with the FDA regarding tradipitant between November 3, 2015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18" w:right="2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February 11, 2019. We believe that we have meritorious defenses and intend to vigorously defend this lawsuit. We do not anticipate that this litigation will have a material adverse effect on our business, results of operations or financial condition. However, this lawsuit is subject to inherent uncertainties, the actual cost may be significant, and we may not prevail. We believe we are entitled to coverage under our relevant insurance policies, subject to a retention, but coverage could be denied or prove to be insufficient.</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On July 25, 2019, a shareholder derivative complaint, </w:t>
      </w:r>
      <w:r>
        <w:rPr>
          <w:rFonts w:ascii="Arial" w:cs="Arial" w:eastAsia="Arial" w:hAnsi="Arial"/>
          <w:sz w:val="18"/>
          <w:szCs w:val="18"/>
          <w:i w:val="1"/>
          <w:iCs w:val="1"/>
          <w:color w:val="auto"/>
        </w:rPr>
        <w:t>Samuel Williams vs. Mihael Polymeropoulos, et al.</w:t>
      </w:r>
      <w:r>
        <w:rPr>
          <w:rFonts w:ascii="Arial" w:cs="Arial" w:eastAsia="Arial" w:hAnsi="Arial"/>
          <w:sz w:val="18"/>
          <w:szCs w:val="18"/>
          <w:color w:val="auto"/>
        </w:rPr>
        <w:t>, was filed in the U.S. District Court for the Eastern District of New York naming certain of our current and former directors and officers as defendants. The complaint, filed on behalf of a purported stockholder, derivatively on our behalf, asserts claims for alleged breach of fiduciary duties by certain of our current and former directors and officers. We believe that we have meritorious defenses and intend to vigorously defend this lawsuit. We do not anticipate that this litigation will have a material adverse effect on our business, results of operations or financial condition. However, this lawsuit is subject to inherent uncertainties, the actual cost may be significant, and we may not prevail. We believe we are entitled to coverage under our relevant insurance policies, subject to a retention, but coverage could be denied or prove to be insufficient.</w:t>
      </w:r>
    </w:p>
    <w:p>
      <w:pPr>
        <w:spacing w:after="0" w:line="200" w:lineRule="exact"/>
        <w:rPr>
          <w:sz w:val="20"/>
          <w:szCs w:val="20"/>
          <w:color w:val="auto"/>
        </w:rPr>
      </w:pPr>
    </w:p>
    <w:p>
      <w:pPr>
        <w:spacing w:after="0" w:line="25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4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We previously disclosed in Part I, Item 1A of our annual report on Form 10-K for the year ended December 31, 2018, filed with the Securities and Exchange Commission on February 19, 2019, important factors which could affect our business, financial condition, results of operations and future operations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Our business, financial condition and operating results can be affected by a number of factors, whether current known or unknown, including but not limited to those described as risk factors, any one or more of which could, directly or indirectly, cause our actual operating results and financial condition to vary materially from past, or anticipated future, operating results and financial condition. Any of these factors, in whole or in part, could materially and adversely affect our business, financial condition, operating results and the price of our common stock. Except as set forth below, there have been no material changes in our risk factors subsequent to the filing of our annual report on Form 10-K for the fiscal year ended December 31, 2018.</w:t>
      </w:r>
    </w:p>
    <w:p>
      <w:pPr>
        <w:spacing w:after="0" w:line="16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b w:val="1"/>
          <w:bCs w:val="1"/>
          <w:i w:val="1"/>
          <w:iCs w:val="1"/>
          <w:color w:val="auto"/>
        </w:rPr>
        <w:t>If the FDA does not accept for filing the NDAs that we may submit for tradipitant for the treatment of chronic pruritus in atopic dermatitis, the treatment of gastroparesis and the treatment of motion sickness, regulatory authorities determine that our clinical trial results for tradipitant for the treatment of chronic pruritus in atopic dermatitis, the treatment of gastroparesis or the treatment of motion sickness do not demonstrate adequate safety and efficacy, or the FDA does not approve an applicable PDUFA-VI date, continued development of tradipitant will be significantly delayed or terminated, our business will be significantly harmed, and the market price of our stock could decline.</w:t>
      </w:r>
    </w:p>
    <w:p>
      <w:pPr>
        <w:spacing w:after="0" w:line="15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announced the results in September 2017 from a randomized Phase II clinical study of tradipitant as a monotherapy in the treatment of chronic pruritus in patients with atopic dermatitis. Tradipitant was shown to improve the intensity of the worst itch patients experienced, as well as atopic dermatitis disease severity.</w:t>
      </w:r>
    </w:p>
    <w:p>
      <w:pPr>
        <w:spacing w:after="0" w:line="18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announced results in December 2018 from a randomized clinical study (2301) of tradipitant as a monotherapy in the treatment of gastroparesis. Tradipitant met the primary endpoint of the study of change in nausea score as measured by patient daily diaries and also met the related endpoint of improvement in the number of nausea free days. Tradipitant also showed significant improvement in most of the secondary endpoints studied, including the several key scales reflecting overall gastroparesis symptoms, specifically GCSI; PAGI-SYM; CGI-S; PGI-C.</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announced the results in July 2019 from a randomized Phase II clinical study of tradipitant as a monotherapy in the treatment of motion sickness, which demonstrated that tradipitant was effective in treating motion sickness. The study had two primary endpoints: percentage of participants vomiting, and Motion Sickness Severity Scale (MSSS) Worst score. In the overall population, a significantly higher percentage of participants experienced vomiting in the placebo arm as compared to the tradipitant arm. The MSSS Worst score endpoint also favored tradipitant, but the difference did not reach statistical significance.</w:t>
      </w:r>
    </w:p>
    <w:p>
      <w:pPr>
        <w:spacing w:after="0" w:line="1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the results of our ongoing Phase III clinical study of tradipitant for the treatment of chronic pruritus in atopic dermatitis and/or our ongoing Phase III clinical study of tradipitant for the treatment of gastroparesis and/or our planned Phase III clinical study of tradipitant for the treatment of motion sickness are positive, we will likely submit an NDA with the FDA for these indications. Any adverse developments or results or perceived adverse developments or results with respect to our pre-NDA meeting with the FDA, our regulatory submission or the tradipitant clinical programs in either or both indications will significantly harm our business and could cause the market price of our stock to decline. Examples of such adverse developments include, but are not limited to:</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660" w:righ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determining that additional clinical studies are required with respect to the tradipitant for the treatment of chronic pruritus in atopic dermatitis and/or the treatment of gastroparesis and/or motion sickness;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safety, efficacy or other concerns arising from clinical or non-clinical studies in these programs;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determining that the tradipitant clinical trial programs raise safety concerns or do not demonstrate adequate efficacy.</w:t>
      </w:r>
    </w:p>
    <w:p>
      <w:pPr>
        <w:spacing w:after="0" w:line="33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April 2018, we submitted a protocol amendment to the FDA, proposing a 52-week open-label extension (OLE) period for patients who had completed the tradipitant Phase II clinical study (2301) in gastroparesis. In May 2018, based on feedback from the FDA, we amended the protocol limiting the duration of treatment in the 2301 study to a total of three months, while continuing to seek further dialogue with the FDA on extending the study duration to 52-weeks. As a part of this negotiation process, in September 2018, we submitted a new follow-on 52-week OLE protocol to the FDA (2302) for patients who had completed the 2301 study. While waiting for further feedback, no patients were ever enrolled in any study beyond 12 weeks. On December 19, 2018, the FDA imposed a partial clinical hold (PCH) on the two proposed studies, stating that we are required first to conduct additional chronic toxicity studies in canines, monkeys or minipigs before allowing patients access in any clinical protocol beyond 12 weeks. The original PCH was not based on any safety or efficacy data related to tradipitant. Rather, the FDA informed us that these additional toxicity studies are required by a guidance document.</w:t>
      </w:r>
    </w:p>
    <w:p>
      <w:pPr>
        <w:spacing w:after="0" w:line="16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February 5, 2019, we filed a lawsuit against the FDA in the United States District Court for the District of Columbia, challenging the FDA’s legal authority to issue the PCH, and seeking an order to set it aside. On February 14, 2019, the FDA filed a Motion for Voluntary Remand to the Agency and for a Stay of the Case. On March 14, 2019, the DC District Court granted the FDA’s request for voluntary remand and returned the matter to the FDA for further consideration. On April 26, 2019, the FDA provided its remand response, in which it indicated that, upon review of scientific literature and tradipitant data, it believes that a partial clinical hold continues to be appropriate until we have adequate safety data from a 9-month non-rodent toxicity study. After reviewing the FDA’s remand response, we continue to believe that additional chronic toxicity studies are unjustified, and that we have provided the FDA with sufficient information regarding the safety of tradipitant to justify the continued study of tradipitant in patients beyond 12 weeks, in accordance with applicable law and FDA regulations. In April 2019, we and the FDA filed a Joint Motion for Extension of Time to Propose a Scheduling Order for this matter. In May 2019, we filed an Amended Complaint, and on July 10, 2019, the Company filed a Motion for Summary Judgment. We intend to continue vigorously pursuing our interests in the matter.</w:t>
      </w:r>
    </w:p>
    <w:p>
      <w:pPr>
        <w:spacing w:after="0" w:line="17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do not expect the PCH to have any impact on our ongoing clinical studies in atopic dermatitis and motion sickness, each of which is under 12 weeks in duration, or our planned 12-week Phase III study in gastroparesis, none of which are subject to the PCH. Nor do we expect the PCH to impact the potential timing of an NDA filing. If the matter has not been fully resolved prior to the date on which we are ready to file the first NDA for tradipitant, then we may choose to file with the safety data we have available at that time. We may pursue additional studies of durations in excess of 12 weeks in countries where the conduct of such studies may be permitted (or we may choose to file for approval of a limited indication). If the FDA determines that our NDA does not contain safety data sufficient for approval, it may not accept the NDA for filing. We will continue to reassess the situation as events unfold.</w:t>
      </w:r>
    </w:p>
    <w:p>
      <w:pPr>
        <w:spacing w:after="0" w:line="16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Even if our lawsuit challenging the FDA’s authority to issue the PCH is successful, there can be no assurances that the FDA will not attempt to impose a clinical hold or PCH on other grounds. While we believe we have a strong legal basis, this litigation is subject to uncertainties and we may not prevail. Because the PCH could, however, impede our ability to conduct longer term studies of tradipitant, whether the PCH impacts the timing or approvability of NDA filings with the FDA for any indication will depend on a number of factors, including whether the PCH is resolved through the lawsuit described above, whether we resolve the PCH out of court through discussions with the FDA, and, in addition to the non-clinical animal studies, whether the FDA considers the clinical trials that we conduct to be sufficient. A delay in filing, or FDA delay or denial of approval, of NDA filings for tradipitant for the treatment of chronic pruritus in atopic dermatitis, gastroparesis or motion sickness could materially adversely impact our business.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Unregistered Sales of Equity Securities and Use of Proceeds</w:t>
      </w:r>
    </w:p>
    <w:p>
      <w:pPr>
        <w:spacing w:after="0" w:line="182" w:lineRule="exact"/>
        <w:rPr>
          <w:sz w:val="20"/>
          <w:szCs w:val="20"/>
          <w:color w:val="auto"/>
        </w:rPr>
      </w:pPr>
    </w:p>
    <w:p>
      <w:pPr>
        <w:sectPr>
          <w:pgSz w:w="11900" w:h="16838" w:orient="portrait"/>
          <w:cols w:equalWidth="0" w:num="2">
            <w:col w:w="660" w:space="640"/>
            <w:col w:w="10120"/>
          </w:cols>
          <w:pgMar w:left="240" w:top="118" w:right="239" w:bottom="1440" w:gutter="0" w:footer="0" w:header="0"/>
          <w:type w:val="continuous"/>
        </w:sect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420"/>
          </w:cols>
          <w:pgMar w:left="240" w:top="118" w:right="23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Defaults Upon Senior Securities</w:t>
      </w:r>
    </w:p>
    <w:p>
      <w:pPr>
        <w:spacing w:after="0" w:line="222" w:lineRule="exact"/>
        <w:rPr>
          <w:sz w:val="20"/>
          <w:szCs w:val="20"/>
          <w:color w:val="auto"/>
        </w:rPr>
      </w:pPr>
    </w:p>
    <w:p>
      <w:pPr>
        <w:sectPr>
          <w:pgSz w:w="11900" w:h="16838" w:orient="portrait"/>
          <w:cols w:equalWidth="0" w:num="2">
            <w:col w:w="660" w:space="640"/>
            <w:col w:w="10120"/>
          </w:cols>
          <w:pgMar w:left="240" w:top="118" w:right="239" w:bottom="1440" w:gutter="0" w:footer="0" w:header="0"/>
          <w:type w:val="continuous"/>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18" w:right="2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3">
              <w:r>
                <w:rPr>
                  <w:rFonts w:ascii="Arial" w:cs="Arial" w:eastAsia="Arial" w:hAnsi="Arial"/>
                  <w:sz w:val="14"/>
                  <w:szCs w:val="14"/>
                  <w:b w:val="1"/>
                  <w:bCs w:val="1"/>
                  <w:color w:val="0000EE"/>
                  <w:w w:val="91"/>
                </w:rPr>
                <w:t>Table of Contents</w:t>
              </w:r>
            </w:hyperlink>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574"/>
        </w:trPr>
        <w:tc>
          <w:tcPr>
            <w:tcW w:w="1200" w:type="dxa"/>
            <w:vAlign w:val="bottom"/>
            <w:gridSpan w:val="2"/>
          </w:tcPr>
          <w:p>
            <w:pPr>
              <w:spacing w:after="0"/>
              <w:rPr>
                <w:sz w:val="20"/>
                <w:szCs w:val="20"/>
                <w:color w:val="auto"/>
              </w:rPr>
            </w:pPr>
            <w:r>
              <w:rPr>
                <w:rFonts w:ascii="Arial" w:cs="Arial" w:eastAsia="Arial" w:hAnsi="Arial"/>
                <w:sz w:val="18"/>
                <w:szCs w:val="18"/>
                <w:color w:val="auto"/>
              </w:rPr>
              <w:t>None</w:t>
            </w:r>
          </w:p>
        </w:tc>
        <w:tc>
          <w:tcPr>
            <w:tcW w:w="1920" w:type="dxa"/>
            <w:vAlign w:val="bottom"/>
          </w:tcPr>
          <w:p>
            <w:pPr>
              <w:spacing w:after="0"/>
              <w:rPr>
                <w:sz w:val="24"/>
                <w:szCs w:val="24"/>
                <w:color w:val="auto"/>
              </w:rPr>
            </w:pPr>
          </w:p>
        </w:tc>
      </w:tr>
      <w:tr>
        <w:trPr>
          <w:trHeight w:val="702"/>
        </w:trPr>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ITEM 4</w:t>
            </w:r>
          </w:p>
        </w:tc>
        <w:tc>
          <w:tcPr>
            <w:tcW w:w="1920" w:type="dxa"/>
            <w:vAlign w:val="bottom"/>
          </w:tcPr>
          <w:p>
            <w:pPr>
              <w:ind w:left="100"/>
              <w:spacing w:after="0"/>
              <w:rPr>
                <w:sz w:val="20"/>
                <w:szCs w:val="20"/>
                <w:color w:val="auto"/>
              </w:rPr>
            </w:pPr>
            <w:r>
              <w:rPr>
                <w:rFonts w:ascii="Arial" w:cs="Arial" w:eastAsia="Arial" w:hAnsi="Arial"/>
                <w:sz w:val="18"/>
                <w:szCs w:val="18"/>
                <w:b w:val="1"/>
                <w:bCs w:val="1"/>
                <w:color w:val="auto"/>
                <w:w w:val="86"/>
              </w:rPr>
              <w:t>Mine Safety Disclosures</w:t>
            </w:r>
          </w:p>
        </w:tc>
      </w:tr>
      <w:tr>
        <w:trPr>
          <w:trHeight w:val="351"/>
        </w:trPr>
        <w:tc>
          <w:tcPr>
            <w:tcW w:w="120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1920" w:type="dxa"/>
            <w:vAlign w:val="bottom"/>
          </w:tcPr>
          <w:p>
            <w:pPr>
              <w:spacing w:after="0"/>
              <w:rPr>
                <w:sz w:val="24"/>
                <w:szCs w:val="24"/>
                <w:color w:val="auto"/>
              </w:rPr>
            </w:pPr>
          </w:p>
        </w:tc>
      </w:tr>
      <w:tr>
        <w:trPr>
          <w:trHeight w:val="756"/>
        </w:trPr>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ITEM 5</w:t>
            </w:r>
          </w:p>
        </w:tc>
        <w:tc>
          <w:tcPr>
            <w:tcW w:w="1920" w:type="dxa"/>
            <w:vAlign w:val="bottom"/>
          </w:tcPr>
          <w:p>
            <w:pPr>
              <w:ind w:left="100"/>
              <w:spacing w:after="0"/>
              <w:rPr>
                <w:sz w:val="20"/>
                <w:szCs w:val="20"/>
                <w:color w:val="auto"/>
              </w:rPr>
            </w:pPr>
            <w:r>
              <w:rPr>
                <w:rFonts w:ascii="Arial" w:cs="Arial" w:eastAsia="Arial" w:hAnsi="Arial"/>
                <w:sz w:val="18"/>
                <w:szCs w:val="18"/>
                <w:b w:val="1"/>
                <w:bCs w:val="1"/>
                <w:color w:val="auto"/>
              </w:rPr>
              <w:t>Other Information</w:t>
            </w:r>
          </w:p>
        </w:tc>
      </w:tr>
      <w:tr>
        <w:trPr>
          <w:trHeight w:val="351"/>
        </w:trPr>
        <w:tc>
          <w:tcPr>
            <w:tcW w:w="1200" w:type="dxa"/>
            <w:vAlign w:val="bottom"/>
            <w:gridSpan w:val="2"/>
          </w:tcPr>
          <w:p>
            <w:pPr>
              <w:spacing w:after="0"/>
              <w:rPr>
                <w:sz w:val="20"/>
                <w:szCs w:val="20"/>
                <w:color w:val="auto"/>
              </w:rPr>
            </w:pPr>
            <w:r>
              <w:rPr>
                <w:rFonts w:ascii="Arial" w:cs="Arial" w:eastAsia="Arial" w:hAnsi="Arial"/>
                <w:sz w:val="18"/>
                <w:szCs w:val="18"/>
                <w:color w:val="auto"/>
              </w:rPr>
              <w:t>None</w:t>
            </w:r>
          </w:p>
        </w:tc>
        <w:tc>
          <w:tcPr>
            <w:tcW w:w="1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19"/>
          </w:cols>
          <w:pgMar w:left="240" w:top="114"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ITEM 6</w:t>
            </w:r>
          </w:p>
        </w:tc>
        <w:tc>
          <w:tcPr>
            <w:tcW w:w="20" w:type="dxa"/>
            <w:vAlign w:val="bottom"/>
          </w:tcPr>
          <w:p>
            <w:pPr>
              <w:spacing w:after="0"/>
              <w:rPr>
                <w:sz w:val="20"/>
                <w:szCs w:val="20"/>
                <w:color w:val="auto"/>
              </w:rPr>
            </w:pPr>
          </w:p>
        </w:tc>
        <w:tc>
          <w:tcPr>
            <w:tcW w:w="10460" w:type="dxa"/>
            <w:vAlign w:val="bottom"/>
            <w:gridSpan w:val="9"/>
          </w:tcPr>
          <w:p>
            <w:pPr>
              <w:ind w:left="3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572"/>
        </w:trPr>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10460" w:type="dxa"/>
            <w:vAlign w:val="bottom"/>
            <w:gridSpan w:val="9"/>
            <w:vMerge w:val="restart"/>
          </w:tcPr>
          <w:p>
            <w:pPr>
              <w:ind w:left="4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0460" w:type="dxa"/>
            <w:vAlign w:val="bottom"/>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460" w:type="dxa"/>
            <w:vAlign w:val="bottom"/>
            <w:tcBorders>
              <w:top w:val="single" w:sz="8" w:color="auto"/>
            </w:tcBorders>
            <w:gridSpan w:val="9"/>
          </w:tcPr>
          <w:p>
            <w:pPr>
              <w:spacing w:after="0"/>
              <w:rPr>
                <w:rFonts w:ascii="Arial" w:cs="Arial" w:eastAsia="Arial" w:hAnsi="Arial"/>
                <w:sz w:val="18"/>
                <w:szCs w:val="18"/>
                <w:color w:val="0000FF"/>
                <w:w w:val="97"/>
              </w:rPr>
            </w:pPr>
            <w:hyperlink r:id="rId19">
              <w:r>
                <w:rPr>
                  <w:rFonts w:ascii="Arial" w:cs="Arial" w:eastAsia="Arial" w:hAnsi="Arial"/>
                  <w:sz w:val="18"/>
                  <w:szCs w:val="18"/>
                  <w:color w:val="0000FF"/>
                  <w:w w:val="97"/>
                </w:rPr>
                <w:t>Form of Amended and Restated Certificate of Incorporation of the registrant (filed as Exhibit 3.8 to Amendment No. 2 to the registrant’s</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registration statement on Form S-1 (File No. 333-130759) on March 17, 2006 and incorporated herein by reference).</w:t>
              </w:r>
            </w:hyperlink>
          </w:p>
        </w:tc>
        <w:tc>
          <w:tcPr>
            <w:tcW w:w="1440" w:type="dxa"/>
            <w:vAlign w:val="bottom"/>
            <w:tcBorders>
              <w:top w:val="single" w:sz="8" w:color="0000FF"/>
            </w:tcBorders>
          </w:tcPr>
          <w:p>
            <w:pPr>
              <w:spacing w:after="0"/>
              <w:rPr>
                <w:sz w:val="17"/>
                <w:szCs w:val="17"/>
                <w:color w:val="auto"/>
              </w:rPr>
            </w:pPr>
          </w:p>
        </w:tc>
        <w:tc>
          <w:tcPr>
            <w:tcW w:w="6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00" w:type="dxa"/>
            <w:vAlign w:val="bottom"/>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60" w:type="dxa"/>
            <w:vAlign w:val="bottom"/>
            <w:gridSpan w:val="9"/>
          </w:tcPr>
          <w:p>
            <w:pPr>
              <w:spacing w:after="0"/>
              <w:rPr>
                <w:rFonts w:ascii="Arial" w:cs="Arial" w:eastAsia="Arial" w:hAnsi="Arial"/>
                <w:sz w:val="18"/>
                <w:szCs w:val="18"/>
                <w:color w:val="0000FF"/>
                <w:w w:val="91"/>
              </w:rPr>
            </w:pPr>
            <w:hyperlink r:id="rId20">
              <w:r>
                <w:rPr>
                  <w:rFonts w:ascii="Arial" w:cs="Arial" w:eastAsia="Arial" w:hAnsi="Arial"/>
                  <w:sz w:val="18"/>
                  <w:szCs w:val="18"/>
                  <w:color w:val="0000FF"/>
                  <w:w w:val="91"/>
                </w:rPr>
                <w:t>Fourth Amended and Restated Bylaws of the registrant, as amended and restated on December 17, 2015 (filed as Exhibit 3.1 to the registrant’s</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current report on Form 8-K (File No. 001-34186) on December 21, 2015 and incorporated herein by reference).</w:t>
              </w:r>
            </w:hyperlink>
          </w:p>
        </w:tc>
        <w:tc>
          <w:tcPr>
            <w:tcW w:w="2220" w:type="dxa"/>
            <w:vAlign w:val="bottom"/>
            <w:tcBorders>
              <w:top w:val="single" w:sz="8" w:color="0000FF"/>
            </w:tcBorders>
            <w:gridSpan w:val="3"/>
          </w:tcPr>
          <w:p>
            <w:pPr>
              <w:spacing w:after="0"/>
              <w:rPr>
                <w:sz w:val="17"/>
                <w:szCs w:val="17"/>
                <w:color w:val="auto"/>
              </w:rPr>
            </w:pPr>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00" w:type="dxa"/>
            <w:vAlign w:val="bottom"/>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6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Certification of the Chief Executive Officer, as required by Section 302 of the Sarbanes-Oxley Act of 2002.</w:t>
              </w:r>
            </w:hyperlink>
          </w:p>
        </w:tc>
        <w:tc>
          <w:tcPr>
            <w:tcW w:w="27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0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60" w:type="dxa"/>
            <w:vAlign w:val="bottom"/>
            <w:gridSpan w:val="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Certification of the Chief Financial Officer, as required by Section 302 of the Sarbanes-Oxley Act of 2002.</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0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60" w:type="dxa"/>
            <w:vAlign w:val="bottom"/>
            <w:gridSpan w:val="9"/>
          </w:tcPr>
          <w:p>
            <w:pPr>
              <w:spacing w:after="0"/>
              <w:rPr>
                <w:rFonts w:ascii="Arial" w:cs="Arial" w:eastAsia="Arial" w:hAnsi="Arial"/>
                <w:sz w:val="18"/>
                <w:szCs w:val="18"/>
                <w:color w:val="0000FF"/>
                <w:w w:val="94"/>
              </w:rPr>
            </w:pPr>
            <w:hyperlink w:anchor="page48">
              <w:r>
                <w:rPr>
                  <w:rFonts w:ascii="Arial" w:cs="Arial" w:eastAsia="Arial" w:hAnsi="Arial"/>
                  <w:sz w:val="18"/>
                  <w:szCs w:val="18"/>
                  <w:color w:val="0000FF"/>
                  <w:w w:val="94"/>
                </w:rPr>
                <w:t>Certification of the Chief Executive Officer (Principal Executive Officer) and Chief Financial Officer (Principal Financial Officer and Principal</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4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48">
              <w:r>
                <w:rPr>
                  <w:rFonts w:ascii="Arial" w:cs="Arial" w:eastAsia="Arial" w:hAnsi="Arial"/>
                  <w:sz w:val="18"/>
                  <w:szCs w:val="18"/>
                  <w:color w:val="0000FF"/>
                </w:rPr>
                <w:t>Accounting Officer), as required by Section 906 of the Sarbanes-Oxley Act of 2002.</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2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960" w:right="140" w:hanging="925"/>
        <w:spacing w:after="0" w:line="255"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financial information from this quarterly report on Form 10-Q for the fiscal quarter ended June 30, 2019 formatted in Inline Extensible Business Reporting Language (iXBRL) and filed electronically herewith: (i) Condensed Consolidated Balance Sheets as of June 30, 2019 and December 31, 2018; (ii) Condensed Consolidated Statements of Operations for the three and six months ended June 30, 2019 and 2018; (iii) Condensed Consolidated Statements of Comprehensive Loss for the three and six months ended June 30, 2019 and 2018; (iv) Condensed Consolidated Statements of Changes in Stockholders’ Equity for the three and six months ended June 30, 2019 and 2018; (v) Condensed Consolidated Statements of Cash Flows for the six months ended June 30, 2019 and 2018; and (vi) Notes to Condensed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Vanda Pharmaceuticals Inc.</w:t>
      </w:r>
    </w:p>
    <w:p>
      <w:pPr>
        <w:spacing w:after="0" w:line="391" w:lineRule="exact"/>
        <w:rPr>
          <w:sz w:val="20"/>
          <w:szCs w:val="20"/>
          <w:color w:val="auto"/>
        </w:rPr>
      </w:pPr>
    </w:p>
    <w:p>
      <w:pPr>
        <w:ind w:left="40"/>
        <w:spacing w:after="0"/>
        <w:tabs>
          <w:tab w:leader="none" w:pos="6840" w:val="left"/>
        </w:tabs>
        <w:rPr>
          <w:sz w:val="20"/>
          <w:szCs w:val="20"/>
          <w:color w:val="auto"/>
        </w:rPr>
      </w:pPr>
      <w:r>
        <w:rPr>
          <w:rFonts w:ascii="Arial" w:cs="Arial" w:eastAsia="Arial" w:hAnsi="Arial"/>
          <w:sz w:val="18"/>
          <w:szCs w:val="18"/>
          <w:color w:val="auto"/>
        </w:rPr>
        <w:t>August 1, 2019</w:t>
      </w:r>
      <w:r>
        <w:rPr>
          <w:sz w:val="20"/>
          <w:szCs w:val="20"/>
          <w:color w:val="auto"/>
        </w:rPr>
        <w:tab/>
      </w:r>
      <w:r>
        <w:rPr>
          <w:rFonts w:ascii="Arial" w:cs="Arial" w:eastAsia="Arial" w:hAnsi="Arial"/>
          <w:sz w:val="16"/>
          <w:szCs w:val="16"/>
          <w:color w:val="auto"/>
        </w:rPr>
        <w:t>/s/ Mihael H. Polymeropoulos,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41249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3" w:lineRule="exact"/>
        <w:rPr>
          <w:sz w:val="20"/>
          <w:szCs w:val="20"/>
          <w:color w:val="auto"/>
        </w:rPr>
      </w:pPr>
    </w:p>
    <w:p>
      <w:pPr>
        <w:jc w:val="center"/>
        <w:ind w:left="4940"/>
        <w:spacing w:after="0"/>
        <w:rPr>
          <w:sz w:val="20"/>
          <w:szCs w:val="20"/>
          <w:color w:val="auto"/>
        </w:rPr>
      </w:pPr>
      <w:r>
        <w:rPr>
          <w:rFonts w:ascii="Arial" w:cs="Arial" w:eastAsia="Arial" w:hAnsi="Arial"/>
          <w:sz w:val="18"/>
          <w:szCs w:val="18"/>
          <w:b w:val="1"/>
          <w:bCs w:val="1"/>
          <w:color w:val="auto"/>
        </w:rPr>
        <w:t>Mihael H. Polymeropoulos, M.D.</w:t>
      </w:r>
    </w:p>
    <w:p>
      <w:pPr>
        <w:spacing w:after="0" w:line="63" w:lineRule="exact"/>
        <w:rPr>
          <w:sz w:val="20"/>
          <w:szCs w:val="20"/>
          <w:color w:val="auto"/>
        </w:rPr>
      </w:pPr>
    </w:p>
    <w:p>
      <w:pPr>
        <w:jc w:val="center"/>
        <w:ind w:left="49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63" w:lineRule="exact"/>
        <w:rPr>
          <w:sz w:val="20"/>
          <w:szCs w:val="20"/>
          <w:color w:val="auto"/>
        </w:rPr>
      </w:pPr>
    </w:p>
    <w:p>
      <w:pPr>
        <w:jc w:val="center"/>
        <w:ind w:left="4940"/>
        <w:spacing w:after="0"/>
        <w:rPr>
          <w:sz w:val="20"/>
          <w:szCs w:val="20"/>
          <w:color w:val="auto"/>
        </w:rPr>
      </w:pPr>
      <w:r>
        <w:rPr>
          <w:rFonts w:ascii="Arial" w:cs="Arial" w:eastAsia="Arial" w:hAnsi="Arial"/>
          <w:sz w:val="18"/>
          <w:szCs w:val="18"/>
          <w:b w:val="1"/>
          <w:bCs w:val="1"/>
          <w:color w:val="auto"/>
        </w:rPr>
        <w:t>(Principal Executive Officer)</w:t>
      </w:r>
    </w:p>
    <w:p>
      <w:pPr>
        <w:spacing w:after="0" w:line="391" w:lineRule="exact"/>
        <w:rPr>
          <w:sz w:val="20"/>
          <w:szCs w:val="20"/>
          <w:color w:val="auto"/>
        </w:rPr>
      </w:pPr>
    </w:p>
    <w:p>
      <w:pPr>
        <w:ind w:left="40"/>
        <w:spacing w:after="0"/>
        <w:tabs>
          <w:tab w:leader="none" w:pos="7520" w:val="left"/>
        </w:tabs>
        <w:rPr>
          <w:sz w:val="20"/>
          <w:szCs w:val="20"/>
          <w:color w:val="auto"/>
        </w:rPr>
      </w:pPr>
      <w:r>
        <w:rPr>
          <w:rFonts w:ascii="Arial" w:cs="Arial" w:eastAsia="Arial" w:hAnsi="Arial"/>
          <w:sz w:val="18"/>
          <w:szCs w:val="18"/>
          <w:color w:val="auto"/>
        </w:rPr>
        <w:t>August 1, 2019</w:t>
      </w:r>
      <w:r>
        <w:rPr>
          <w:sz w:val="20"/>
          <w:szCs w:val="20"/>
          <w:color w:val="auto"/>
        </w:rPr>
        <w:tab/>
      </w:r>
      <w:r>
        <w:rPr>
          <w:rFonts w:ascii="Arial" w:cs="Arial" w:eastAsia="Arial" w:hAnsi="Arial"/>
          <w:sz w:val="15"/>
          <w:szCs w:val="15"/>
          <w:color w:val="auto"/>
        </w:rPr>
        <w:t>/s/ James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41249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James P. Kelly</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Executive Vice President, Chief Financial Officer and Treasurer</w:t>
      </w:r>
    </w:p>
    <w:p>
      <w:pPr>
        <w:spacing w:after="0" w:line="2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(Principal Financial Officer and Principal Accounting Officer)</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118" w:right="4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Mihael H. Polymeropoulos,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Vanda Pharmaceuticals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3340"/>
        <w:spacing w:after="0"/>
        <w:tabs>
          <w:tab w:leader="none" w:pos="6840" w:val="left"/>
        </w:tabs>
        <w:rPr>
          <w:sz w:val="20"/>
          <w:szCs w:val="20"/>
          <w:color w:val="auto"/>
        </w:rPr>
      </w:pPr>
      <w:r>
        <w:rPr>
          <w:rFonts w:ascii="Arial" w:cs="Arial" w:eastAsia="Arial" w:hAnsi="Arial"/>
          <w:sz w:val="18"/>
          <w:szCs w:val="18"/>
          <w:color w:val="auto"/>
        </w:rPr>
        <w:t>August 1, 2019</w:t>
      </w:r>
      <w:r>
        <w:rPr>
          <w:sz w:val="20"/>
          <w:szCs w:val="20"/>
          <w:color w:val="auto"/>
        </w:rPr>
        <w:tab/>
      </w:r>
      <w:r>
        <w:rPr>
          <w:rFonts w:ascii="Arial" w:cs="Arial" w:eastAsia="Arial" w:hAnsi="Arial"/>
          <w:sz w:val="16"/>
          <w:szCs w:val="16"/>
          <w:color w:val="auto"/>
        </w:rPr>
        <w:t>/s/ Mihael H. Polymeropoulos,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41249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3" w:lineRule="exact"/>
        <w:rPr>
          <w:sz w:val="20"/>
          <w:szCs w:val="20"/>
          <w:color w:val="auto"/>
        </w:rPr>
      </w:pPr>
    </w:p>
    <w:p>
      <w:pPr>
        <w:jc w:val="center"/>
        <w:ind w:left="4920"/>
        <w:spacing w:after="0"/>
        <w:rPr>
          <w:sz w:val="20"/>
          <w:szCs w:val="20"/>
          <w:color w:val="auto"/>
        </w:rPr>
      </w:pPr>
      <w:r>
        <w:rPr>
          <w:rFonts w:ascii="Arial" w:cs="Arial" w:eastAsia="Arial" w:hAnsi="Arial"/>
          <w:sz w:val="18"/>
          <w:szCs w:val="18"/>
          <w:b w:val="1"/>
          <w:bCs w:val="1"/>
          <w:color w:val="auto"/>
        </w:rPr>
        <w:t>Mihael H. Polymeropoulos, M.D.</w:t>
      </w:r>
    </w:p>
    <w:p>
      <w:pPr>
        <w:spacing w:after="0" w:line="63" w:lineRule="exact"/>
        <w:rPr>
          <w:sz w:val="20"/>
          <w:szCs w:val="20"/>
          <w:color w:val="auto"/>
        </w:rPr>
      </w:pPr>
    </w:p>
    <w:p>
      <w:pPr>
        <w:jc w:val="center"/>
        <w:ind w:left="49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63" w:lineRule="exact"/>
        <w:rPr>
          <w:sz w:val="20"/>
          <w:szCs w:val="20"/>
          <w:color w:val="auto"/>
        </w:rPr>
      </w:pPr>
    </w:p>
    <w:p>
      <w:pPr>
        <w:jc w:val="center"/>
        <w:ind w:left="49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James P. Kelly,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Vanda Pharmaceuticals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3340"/>
        <w:spacing w:after="0"/>
        <w:tabs>
          <w:tab w:leader="none" w:pos="7520" w:val="left"/>
        </w:tabs>
        <w:rPr>
          <w:sz w:val="20"/>
          <w:szCs w:val="20"/>
          <w:color w:val="auto"/>
        </w:rPr>
      </w:pPr>
      <w:r>
        <w:rPr>
          <w:rFonts w:ascii="Arial" w:cs="Arial" w:eastAsia="Arial" w:hAnsi="Arial"/>
          <w:sz w:val="18"/>
          <w:szCs w:val="18"/>
          <w:color w:val="auto"/>
        </w:rPr>
        <w:t>August 1, 2019</w:t>
      </w:r>
      <w:r>
        <w:rPr>
          <w:sz w:val="20"/>
          <w:szCs w:val="20"/>
          <w:color w:val="auto"/>
        </w:rPr>
        <w:tab/>
      </w:r>
      <w:r>
        <w:rPr>
          <w:rFonts w:ascii="Arial" w:cs="Arial" w:eastAsia="Arial" w:hAnsi="Arial"/>
          <w:sz w:val="15"/>
          <w:szCs w:val="15"/>
          <w:color w:val="auto"/>
        </w:rPr>
        <w:t>/s/ James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41249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3" w:lineRule="exact"/>
        <w:rPr>
          <w:sz w:val="20"/>
          <w:szCs w:val="20"/>
          <w:color w:val="auto"/>
        </w:rPr>
      </w:pPr>
    </w:p>
    <w:p>
      <w:pPr>
        <w:jc w:val="center"/>
        <w:ind w:left="4920"/>
        <w:spacing w:after="0"/>
        <w:rPr>
          <w:sz w:val="20"/>
          <w:szCs w:val="20"/>
          <w:color w:val="auto"/>
        </w:rPr>
      </w:pPr>
      <w:r>
        <w:rPr>
          <w:rFonts w:ascii="Arial" w:cs="Arial" w:eastAsia="Arial" w:hAnsi="Arial"/>
          <w:sz w:val="18"/>
          <w:szCs w:val="18"/>
          <w:b w:val="1"/>
          <w:bCs w:val="1"/>
          <w:color w:val="auto"/>
        </w:rPr>
        <w:t>James P. Kelly</w:t>
      </w:r>
    </w:p>
    <w:p>
      <w:pPr>
        <w:spacing w:after="0" w:line="63" w:lineRule="exact"/>
        <w:rPr>
          <w:sz w:val="20"/>
          <w:szCs w:val="20"/>
          <w:color w:val="auto"/>
        </w:rPr>
      </w:pPr>
    </w:p>
    <w:p>
      <w:pPr>
        <w:jc w:val="center"/>
        <w:ind w:left="4920"/>
        <w:spacing w:after="0"/>
        <w:rPr>
          <w:sz w:val="20"/>
          <w:szCs w:val="20"/>
          <w:color w:val="auto"/>
        </w:rPr>
      </w:pPr>
      <w:r>
        <w:rPr>
          <w:rFonts w:ascii="Arial" w:cs="Arial" w:eastAsia="Arial" w:hAnsi="Arial"/>
          <w:sz w:val="18"/>
          <w:szCs w:val="18"/>
          <w:b w:val="1"/>
          <w:bCs w:val="1"/>
          <w:color w:val="auto"/>
        </w:rPr>
        <w:t>Executive Vice President, Chief Financial Officer and Treasurer</w:t>
      </w:r>
    </w:p>
    <w:p>
      <w:pPr>
        <w:spacing w:after="0" w:line="63" w:lineRule="exact"/>
        <w:rPr>
          <w:sz w:val="20"/>
          <w:szCs w:val="20"/>
          <w:color w:val="auto"/>
        </w:rPr>
      </w:pPr>
    </w:p>
    <w:p>
      <w:pPr>
        <w:jc w:val="center"/>
        <w:ind w:left="4920"/>
        <w:spacing w:after="0"/>
        <w:rPr>
          <w:sz w:val="20"/>
          <w:szCs w:val="20"/>
          <w:color w:val="auto"/>
        </w:rPr>
      </w:pPr>
      <w:r>
        <w:rPr>
          <w:rFonts w:ascii="Arial" w:cs="Arial" w:eastAsia="Arial" w:hAnsi="Arial"/>
          <w:sz w:val="18"/>
          <w:szCs w:val="18"/>
          <w:b w:val="1"/>
          <w:bCs w:val="1"/>
          <w:color w:val="auto"/>
        </w:rPr>
        <w:t>(Principal Financial Officer and Principal Accounting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1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Vanda Pharmaceuticals Inc. (the Company), does hereby certify, to the best of such officer’s knowledge, that:</w:t>
      </w:r>
    </w:p>
    <w:p>
      <w:pPr>
        <w:spacing w:after="0" w:line="14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Quarterly Report on Form 10-Q for the quarter ended June 30, 2019 (the Form 10-Q) of the Company fully complies with the requirements of Section 13(a) or 15(d) of the Securities Exchange Act of 1934, as amended, and the information contained in the Form 10-Q fairly presents, in all material respects, the consolidated financial condition and results of operations of the Company.</w:t>
      </w:r>
    </w:p>
    <w:p>
      <w:pPr>
        <w:spacing w:after="0" w:line="384" w:lineRule="exact"/>
        <w:rPr>
          <w:sz w:val="20"/>
          <w:szCs w:val="20"/>
          <w:color w:val="auto"/>
        </w:rPr>
      </w:pPr>
    </w:p>
    <w:p>
      <w:pPr>
        <w:ind w:left="3340"/>
        <w:spacing w:after="0"/>
        <w:tabs>
          <w:tab w:leader="none" w:pos="6840" w:val="left"/>
        </w:tabs>
        <w:rPr>
          <w:sz w:val="20"/>
          <w:szCs w:val="20"/>
          <w:color w:val="auto"/>
        </w:rPr>
      </w:pPr>
      <w:r>
        <w:rPr>
          <w:rFonts w:ascii="Arial" w:cs="Arial" w:eastAsia="Arial" w:hAnsi="Arial"/>
          <w:sz w:val="18"/>
          <w:szCs w:val="18"/>
          <w:color w:val="auto"/>
        </w:rPr>
        <w:t>August 1, 2019</w:t>
      </w:r>
      <w:r>
        <w:rPr>
          <w:sz w:val="20"/>
          <w:szCs w:val="20"/>
          <w:color w:val="auto"/>
        </w:rPr>
        <w:tab/>
      </w:r>
      <w:r>
        <w:rPr>
          <w:rFonts w:ascii="Arial" w:cs="Arial" w:eastAsia="Arial" w:hAnsi="Arial"/>
          <w:sz w:val="16"/>
          <w:szCs w:val="16"/>
          <w:color w:val="auto"/>
        </w:rPr>
        <w:t>/s/ Mihael H. Polymeropoulos,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41249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3" w:lineRule="exact"/>
        <w:rPr>
          <w:sz w:val="20"/>
          <w:szCs w:val="20"/>
          <w:color w:val="auto"/>
        </w:rPr>
      </w:pPr>
    </w:p>
    <w:p>
      <w:pPr>
        <w:jc w:val="center"/>
        <w:ind w:left="4920"/>
        <w:spacing w:after="0"/>
        <w:rPr>
          <w:sz w:val="20"/>
          <w:szCs w:val="20"/>
          <w:color w:val="auto"/>
        </w:rPr>
      </w:pPr>
      <w:r>
        <w:rPr>
          <w:rFonts w:ascii="Arial" w:cs="Arial" w:eastAsia="Arial" w:hAnsi="Arial"/>
          <w:sz w:val="18"/>
          <w:szCs w:val="18"/>
          <w:b w:val="1"/>
          <w:bCs w:val="1"/>
          <w:color w:val="auto"/>
        </w:rPr>
        <w:t>Mihael H. Polymeropoulos, M.D.</w:t>
      </w:r>
    </w:p>
    <w:p>
      <w:pPr>
        <w:spacing w:after="0" w:line="27" w:lineRule="exact"/>
        <w:rPr>
          <w:sz w:val="20"/>
          <w:szCs w:val="20"/>
          <w:color w:val="auto"/>
        </w:rPr>
      </w:pPr>
    </w:p>
    <w:p>
      <w:pPr>
        <w:jc w:val="center"/>
        <w:ind w:left="49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(Principal Executive Officer)</w:t>
      </w:r>
    </w:p>
    <w:p>
      <w:pPr>
        <w:spacing w:after="0" w:line="391" w:lineRule="exact"/>
        <w:rPr>
          <w:sz w:val="20"/>
          <w:szCs w:val="20"/>
          <w:color w:val="auto"/>
        </w:rPr>
      </w:pPr>
    </w:p>
    <w:p>
      <w:pPr>
        <w:ind w:left="3340"/>
        <w:spacing w:after="0"/>
        <w:tabs>
          <w:tab w:leader="none" w:pos="7520" w:val="left"/>
        </w:tabs>
        <w:rPr>
          <w:sz w:val="20"/>
          <w:szCs w:val="20"/>
          <w:color w:val="auto"/>
        </w:rPr>
      </w:pPr>
      <w:r>
        <w:rPr>
          <w:rFonts w:ascii="Arial" w:cs="Arial" w:eastAsia="Arial" w:hAnsi="Arial"/>
          <w:sz w:val="18"/>
          <w:szCs w:val="18"/>
          <w:color w:val="auto"/>
        </w:rPr>
        <w:t>August 1, 2019</w:t>
      </w:r>
      <w:r>
        <w:rPr>
          <w:sz w:val="20"/>
          <w:szCs w:val="20"/>
          <w:color w:val="auto"/>
        </w:rPr>
        <w:tab/>
      </w:r>
      <w:r>
        <w:rPr>
          <w:rFonts w:ascii="Arial" w:cs="Arial" w:eastAsia="Arial" w:hAnsi="Arial"/>
          <w:sz w:val="15"/>
          <w:szCs w:val="15"/>
          <w:color w:val="auto"/>
        </w:rPr>
        <w:t>/s/ James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41249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James P. Kelly</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Executive Vice President, Chief Financial Officer and Treasurer</w:t>
      </w:r>
    </w:p>
    <w:p>
      <w:pPr>
        <w:spacing w:after="0" w:line="2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(Principal Financial Officer and Principal Accounting Officer)</w:t>
      </w:r>
    </w:p>
    <w:p>
      <w:pPr>
        <w:spacing w:after="0" w:line="238"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the Company and will be retained by the Company and furnished to the Securities and Exchange Commission (SEC) or its staff upon request. 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lowerRoman"/>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2"/>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0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19" Type="http://schemas.openxmlformats.org/officeDocument/2006/relationships/hyperlink" Target="http://www.sec.gov/Archives/edgar/data/1347178/000095013306001354/w15453a2exv3w8.htm" TargetMode="External"/><Relationship Id="rId20" Type="http://schemas.openxmlformats.org/officeDocument/2006/relationships/hyperlink" Target="http://www.sec.gov/Archives/edgar/data/1347178/000119312515409169/d10677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2019-12-28T08:47:31Z</dcterms:created>
  <dcterms:modified xsi:type="dcterms:W3CDTF">2019-12-28T08:47:31Z</dcterms:modified>
</cp:coreProperties>
</file>