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171450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121920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107950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VANDA PHARMACEUTICALS INC.</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90170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sectPr>
      </w:pPr>
    </w:p>
    <w:p>
      <w:pPr>
        <w:spacing w:after="0" w:line="33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001-34186</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03-0491827</w:t>
      </w:r>
    </w:p>
    <w:p>
      <w:pPr>
        <w:spacing w:after="0" w:line="34" w:lineRule="exact"/>
        <w:rPr>
          <w:sz w:val="24"/>
          <w:szCs w:val="24"/>
          <w:color w:val="auto"/>
        </w:rPr>
      </w:pPr>
    </w:p>
    <w:p>
      <w:pPr>
        <w:sectPr>
          <w:pgSz w:w="11900" w:h="16838" w:orient="portrait"/>
          <w:cols w:equalWidth="0" w:num="3">
            <w:col w:w="4500" w:space="720"/>
            <w:col w:w="2740" w:space="720"/>
            <w:col w:w="2400"/>
          </w:cols>
          <w:pgMar w:left="320" w:top="1253"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220" w:space="720"/>
            <w:col w:w="2420" w:space="720"/>
            <w:col w:w="3000"/>
          </w:cols>
          <w:pgMar w:left="320" w:top="1253" w:right="499" w:bottom="1440" w:gutter="0" w:footer="0" w:header="0"/>
          <w:type w:val="continuous"/>
        </w:sectPr>
      </w:pP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2200 Pennsylvania Avenue NW</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Suite 300E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080"/>
          </w:cols>
          <w:pgMar w:left="320" w:top="1253" w:right="499" w:bottom="1440" w:gutter="0" w:footer="0" w:header="0"/>
          <w:type w:val="continuous"/>
        </w:sectPr>
      </w:pPr>
    </w:p>
    <w:p>
      <w:pPr>
        <w:spacing w:after="0" w:line="1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734-3400</w:t>
      </w:r>
    </w:p>
    <w:p>
      <w:pPr>
        <w:spacing w:after="0" w:line="17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119380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8"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tcPr>
          <w:p>
            <w:pPr>
              <w:spacing w:after="0"/>
              <w:rPr>
                <w:sz w:val="13"/>
                <w:szCs w:val="13"/>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gridSpan w:val="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VNDA</w:t>
            </w:r>
          </w:p>
        </w:tc>
        <w:tc>
          <w:tcPr>
            <w:tcW w:w="8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type w:val="continuous"/>
        </w:sectPr>
      </w:pPr>
    </w:p>
    <w:bookmarkStart w:id="1" w:name="page2"/>
    <w:bookmarkEnd w:id="1"/>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2026, Vanda Pharmaceuticals Inc. (“Vanda”) issued a press release and is holding a conference call regarding its results of operations and financial condition for the quarter ended September 30, 2026 (the “Earnings Call”). The full text of the press release is furnished as Exhibit 99.1 to this Current Report on Form 8-K and is incorporated by reference herein.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statements to be made during the Earnings Call are “forward-looking statements” under the securities laws, including, but not limited to, statements regarding Vanda’s commercial products, plans and opportunities, as well as statements about Vanda’s products in development and the related clinical development and regulatory timelines and commercial potential for such products. Words such as, but not limited to, “believe,” “expect,” “anticipate,” “estimate,” “intend,” “plan,” “project,” “target,” “goal,” “likely,” “will,” “would,” and “could,” or the negative of these terms and similar expressions or words, identify forward-looking statements. All statements other than statements of historical fact are statements that could be deemed forward-looking statements. Forward-looking statements are based upon current expectations and assumptions that involve risks, changes in circumstances and uncertainties.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reflected in Vanda’s forward-looking statements include, among others, Vanda’s assumptions regarding the strength of its business in the U.S. and Vanda’s ability to complete the clinical development of, and obtain regulatory approval for, the products in its pipeline. Therefore, no assurance can be given that the actual results or developments anticipated by Vanda will be realized or, even if substantially realized, that they will have the expected consequences to, or effects on, Vanda. Forward-looking statements made during the Earnings Call should be evaluated together with the various risks and uncertainties that affect Vanda’s business and market, particularly those identified in the “Cautionary Note Regarding Forward-Looking Statements”, “Risk Factors” and “Management’s Discussion and Analysis of Financial Condition and Results of Operations” sections of Vanda’s most recent Annual Report on Form 10-K, as updated by Vanda’s subsequent Quarterly Reports on Form 10-Q, Current Reports on Form 8-K and other filings with the U.S. Securities and Exchange Commission, which are available at www.sec.gov.</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written and verbal forward-looking statements attributable to Vanda or any person acting on its behalf are expressly qualified in their entirety by the cautionary statements contained or referred to herein. The information contained in this Current Report on Form 8-K is intended to be considered in the context of Vanda’s filings with the SEC and other public announcements that Vanda makes, by press release or otherwise, from time to time. Vanda cautions investors not to rely too heavily on the forward-looking statements Vanda makes or that are made on its behalf. The information conveyed on the Earnings Call will be provided only as of the date thereof, and Vanda undertakes no obligation, and specifically declines any obligation, to update or revise publicly any forward-looking statements made during the Earnings Call after the date thereof, whether as a result of new information, future events or otherwise, except as required by law.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57"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40" w:hanging="38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400" w:type="dxa"/>
            <w:vAlign w:val="bottom"/>
            <w:gridSpan w:val="3"/>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3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Vanda Pharmaceuticals Inc. dated October 28, 2026.</w:t>
            </w:r>
          </w:p>
        </w:tc>
        <w:tc>
          <w:tcPr>
            <w:tcW w:w="4460" w:type="dxa"/>
            <w:vAlign w:val="bottom"/>
            <w:gridSpan w:val="2"/>
          </w:tcPr>
          <w:p>
            <w:pPr>
              <w:spacing w:after="0"/>
              <w:rPr>
                <w:sz w:val="24"/>
                <w:szCs w:val="24"/>
                <w:color w:val="auto"/>
              </w:rPr>
            </w:pPr>
          </w:p>
        </w:tc>
      </w:tr>
      <w:tr>
        <w:trPr>
          <w:trHeight w:val="31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2026</w:t>
            </w:r>
          </w:p>
        </w:tc>
        <w:tc>
          <w:tcPr>
            <w:tcW w:w="76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VANDA PHARMACEUTICALS INC.</w:t>
            </w:r>
          </w:p>
        </w:tc>
      </w:tr>
      <w:tr>
        <w:trPr>
          <w:trHeight w:val="392"/>
        </w:trPr>
        <w:tc>
          <w:tcPr>
            <w:tcW w:w="3460" w:type="dxa"/>
            <w:vAlign w:val="bottom"/>
          </w:tcPr>
          <w:p>
            <w:pPr>
              <w:spacing w:after="0"/>
              <w:rPr>
                <w:sz w:val="24"/>
                <w:szCs w:val="24"/>
                <w:color w:val="auto"/>
              </w:rPr>
            </w:pPr>
          </w:p>
        </w:tc>
        <w:tc>
          <w:tcPr>
            <w:tcW w:w="2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Daniel McGuire</w:t>
            </w:r>
          </w:p>
        </w:tc>
      </w:tr>
      <w:tr>
        <w:trPr>
          <w:trHeight w:val="237"/>
        </w:trPr>
        <w:tc>
          <w:tcPr>
            <w:tcW w:w="3460" w:type="dxa"/>
            <w:vAlign w:val="bottom"/>
          </w:tcPr>
          <w:p>
            <w:pPr>
              <w:spacing w:after="0"/>
              <w:rPr>
                <w:sz w:val="20"/>
                <w:szCs w:val="20"/>
                <w:color w:val="auto"/>
              </w:rPr>
            </w:pPr>
          </w:p>
        </w:tc>
        <w:tc>
          <w:tcPr>
            <w:tcW w:w="2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McGuire</w:t>
            </w:r>
          </w:p>
        </w:tc>
      </w:tr>
      <w:tr>
        <w:trPr>
          <w:trHeight w:val="243"/>
        </w:trPr>
        <w:tc>
          <w:tcPr>
            <w:tcW w:w="3460" w:type="dxa"/>
            <w:vAlign w:val="bottom"/>
          </w:tcPr>
          <w:p>
            <w:pPr>
              <w:spacing w:after="0"/>
              <w:rPr>
                <w:sz w:val="21"/>
                <w:szCs w:val="21"/>
                <w:color w:val="auto"/>
              </w:rPr>
            </w:pPr>
          </w:p>
        </w:tc>
        <w:tc>
          <w:tcPr>
            <w:tcW w:w="2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226314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Vanda Pharmaceuticals Reports Third Quarter 2026 Financial Results</w:t>
      </w:r>
    </w:p>
    <w:p>
      <w:pPr>
        <w:spacing w:after="0" w:line="342"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Q3 2026 Total Revenues increased 24% to $69.8 million compared to Q3 2025 and 38% compared to Q2 2026</w:t>
      </w:r>
    </w:p>
    <w:p>
      <w:pPr>
        <w:spacing w:after="0" w:line="11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Q3 2026 Total Operating Expenses decreased by 18% to $93.3 million compared to Q2 2026</w:t>
      </w:r>
    </w:p>
    <w:p>
      <w:pPr>
        <w:spacing w:after="0" w:line="11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positive results from the Phase III study of NEREUS™ for prevention of GLP-1-induced vomiting</w:t>
      </w:r>
    </w:p>
    <w:p>
      <w:pPr>
        <w:spacing w:after="0" w:line="11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NEREUS™ for prevention of vomiting induced by motion became commercially available in Q2 2026</w:t>
      </w:r>
    </w:p>
    <w:p>
      <w:pPr>
        <w:spacing w:after="0" w:line="11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BYSANTI</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commercial launch expected in Q4 2026</w:t>
      </w:r>
    </w:p>
    <w:p>
      <w:pPr>
        <w:spacing w:after="0" w:line="59"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Quimilza</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BLA for GPP under review by the FDA; PDUFA target action date of December 12, 2026</w:t>
      </w:r>
    </w:p>
    <w:p>
      <w:pPr>
        <w:spacing w:after="0" w:line="27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WASHINGTON </w:t>
      </w:r>
      <w:r>
        <w:rPr>
          <w:rFonts w:ascii="Times New Roman" w:cs="Times New Roman" w:eastAsia="Times New Roman" w:hAnsi="Times New Roman"/>
          <w:sz w:val="18"/>
          <w:szCs w:val="18"/>
          <w:color w:val="auto"/>
        </w:rPr>
        <w:t>– October 28, 2026 – Vanda Pharmaceuticals Inc. (Vanda) (Nasdaq: VNDA) today announced financial and operational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ended September 30, 2026.</w:t>
      </w:r>
    </w:p>
    <w:p>
      <w:pPr>
        <w:spacing w:after="0" w:line="15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are pleased with the strong revenue growth in the third quarter, increasing 24% year-over-year, driven by continued Fanapt momentum and the early contribution from our NEREUS commercial launch, while operating expenses decreased 18% compared to the second quarter as key Phase III and launch-preparation activities conclude,” said Mihael H. Polymeropoulos, M.D., Vanda’s President, CEO and Chairman of the Board. “Looking ahead, with the commercial launch of BYSANTI expected in the fourth quarter, the Quimilza BLA under FDA review with a December PDUFA date, and positive Phase</w:t>
      </w:r>
    </w:p>
    <w:p>
      <w:pPr>
        <w:spacing w:after="0" w:line="3" w:lineRule="exact"/>
        <w:rPr>
          <w:sz w:val="20"/>
          <w:szCs w:val="20"/>
          <w:color w:val="auto"/>
        </w:rPr>
      </w:pPr>
    </w:p>
    <w:p>
      <w:pPr>
        <w:ind w:right="20" w:firstLine="8"/>
        <w:spacing w:after="0" w:line="260"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supporting potential expansions for NEREUS in GLP-1-induced vomiting and HETLIOZ in Delayed Sleep-Wake Phase Disorder, we are focused on further moderating costs and driving revenue growth from our current portfolio and planned launches to support sustainable long-term value.”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121" w:lineRule="exact"/>
        <w:rPr>
          <w:sz w:val="20"/>
          <w:szCs w:val="20"/>
          <w:color w:val="auto"/>
        </w:rPr>
      </w:pPr>
    </w:p>
    <w:p>
      <w:pPr>
        <w:ind w:left="500" w:right="20" w:hanging="330"/>
        <w:spacing w:after="0" w:line="218"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2026, Vanda has advanced multiple Phase III programs, continued its commercial activities for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and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and prepared for the commercial launches, including manufacturing commercial supplies,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and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(imsidolimab). These activities resulted in significantly increased operating expenses in 2025 and 2026. As certain of these activities began concluding in Q3 2026, operating expenses have decreased and Vanda expects operating expenses to decrease further in future quarters, as the remainder of these activities conclude.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of 2026</w:t>
      </w:r>
    </w:p>
    <w:p>
      <w:pPr>
        <w:spacing w:after="0" w:line="121" w:lineRule="exact"/>
        <w:rPr>
          <w:sz w:val="20"/>
          <w:szCs w:val="20"/>
          <w:color w:val="auto"/>
        </w:rPr>
      </w:pPr>
    </w:p>
    <w:p>
      <w:pPr>
        <w:ind w:left="500" w:right="40" w:hanging="330"/>
        <w:spacing w:after="0" w:line="235"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product sales were $69.8 million in Q3 2026, a 24% increase compared to $56.3 million in Q3 2025 and a 38% increase compared to $50.5 million in Q2 2026. Total net product sales includes approximately $7.0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 for orders shipped on June 29, 2026 that arrived on July 1, 2026.</w:t>
      </w:r>
    </w:p>
    <w:p>
      <w:pPr>
        <w:spacing w:after="0" w:line="91" w:lineRule="exact"/>
        <w:rPr>
          <w:rFonts w:ascii="Times New Roman" w:cs="Times New Roman" w:eastAsia="Times New Roman" w:hAnsi="Times New Roman"/>
          <w:sz w:val="18"/>
          <w:szCs w:val="18"/>
          <w:color w:val="auto"/>
        </w:rPr>
      </w:pPr>
    </w:p>
    <w:p>
      <w:pPr>
        <w:ind w:left="500" w:right="3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were $93.3 million in Q3 2026, a 7% increase compared to $87.5 million in Q3 2025 and an 18% decrease compared to $114.3 million in Q2 2026.</w:t>
      </w:r>
    </w:p>
    <w:p>
      <w:pPr>
        <w:spacing w:after="0" w:line="53" w:lineRule="exact"/>
        <w:rPr>
          <w:rFonts w:ascii="Times New Roman" w:cs="Times New Roman" w:eastAsia="Times New Roman" w:hAnsi="Times New Roman"/>
          <w:sz w:val="18"/>
          <w:szCs w:val="18"/>
          <w:color w:val="auto"/>
        </w:rPr>
      </w:pPr>
    </w:p>
    <w:p>
      <w:pPr>
        <w:ind w:left="500" w:right="280" w:hanging="330"/>
        <w:spacing w:after="0" w:line="229"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$38.8 million in Q3 2026, a 24% increase compared to $31.2 million in Q3 2025 and an 8% increase compared to $36.0 million in Q2 2026.</w:t>
      </w:r>
    </w:p>
    <w:p>
      <w:pPr>
        <w:spacing w:after="0" w:line="90" w:lineRule="exact"/>
        <w:rPr>
          <w:rFonts w:ascii="Times New Roman" w:cs="Times New Roman" w:eastAsia="Times New Roman" w:hAnsi="Times New Roman"/>
          <w:sz w:val="18"/>
          <w:szCs w:val="18"/>
          <w:color w:val="auto"/>
        </w:rPr>
      </w:pPr>
    </w:p>
    <w:p>
      <w:pPr>
        <w:ind w:left="500" w:right="120" w:hanging="330"/>
        <w:spacing w:after="0" w:line="235"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$21.7 million in Q3 2026, a 21% increase compared to $18.0 million in Q3 2025 and a 289% increase compared to $5.6 million in Q2 2026, and includes orders totaling approximately $7.0 million in revenue that were shipped on June 29, 2026 and arrived on July 1, 2026. These orders were recognized as revenue in Q3 2026.</w:t>
      </w:r>
    </w:p>
    <w:p>
      <w:pPr>
        <w:sectPr>
          <w:pgSz w:w="11900" w:h="16838" w:orient="portrait"/>
          <w:cols w:equalWidth="0" w:num="1">
            <w:col w:w="11240"/>
          </w:cols>
          <w:pgMar w:left="320" w:top="887" w:right="339" w:bottom="1440" w:gutter="0" w:footer="0" w:header="0"/>
        </w:sectPr>
      </w:pPr>
    </w:p>
    <w:bookmarkStart w:id="4" w:name="page5"/>
    <w:bookmarkEnd w:id="4"/>
    <w:p>
      <w:pPr>
        <w:ind w:left="500" w:right="160" w:hanging="330"/>
        <w:spacing w:after="0" w:line="230"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$7.7 million in Q3 2026, a 10% increase compared to $7.0 million in Q3 2025 and a 2% decrease compared to $7.9 million in Q2 2026.</w:t>
      </w:r>
    </w:p>
    <w:p>
      <w:pPr>
        <w:spacing w:after="0" w:line="88" w:lineRule="exact"/>
        <w:rPr>
          <w:rFonts w:ascii="Times New Roman" w:cs="Times New Roman" w:eastAsia="Times New Roman" w:hAnsi="Times New Roman"/>
          <w:sz w:val="18"/>
          <w:szCs w:val="18"/>
          <w:color w:val="auto"/>
        </w:rPr>
      </w:pPr>
    </w:p>
    <w:p>
      <w:pPr>
        <w:jc w:val="both"/>
        <w:ind w:left="500" w:right="400" w:hanging="330"/>
        <w:spacing w:after="0" w:line="218"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were $1.6 million in Q3 2026, a 60% increase compared to $1.0 million in Q2 2026. Vanda launched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commercially in the U.S. in Q2 2026, with the direct-to-consumer offering via the web portal </w:t>
      </w:r>
      <w:r>
        <w:rPr>
          <w:rFonts w:ascii="Times New Roman" w:cs="Times New Roman" w:eastAsia="Times New Roman" w:hAnsi="Times New Roman"/>
          <w:sz w:val="18"/>
          <w:szCs w:val="18"/>
          <w:color w:val="0000FF"/>
        </w:rPr>
        <w:t>nereus.us,</w:t>
      </w:r>
      <w:r>
        <w:rPr>
          <w:rFonts w:ascii="Times New Roman" w:cs="Times New Roman" w:eastAsia="Times New Roman" w:hAnsi="Times New Roman"/>
          <w:sz w:val="18"/>
          <w:szCs w:val="18"/>
          <w:color w:val="auto"/>
        </w:rPr>
        <w:t xml:space="preserve"> and began sales force promotion in Q3 2026.</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taxes was $22.4 million in Q3 2026 compared with $28.4 million in Q3 2025.</w:t>
      </w:r>
    </w:p>
    <w:p>
      <w:pPr>
        <w:spacing w:after="0" w:line="117" w:lineRule="exact"/>
        <w:rPr>
          <w:rFonts w:ascii="Times New Roman" w:cs="Times New Roman" w:eastAsia="Times New Roman" w:hAnsi="Times New Roman"/>
          <w:sz w:val="18"/>
          <w:szCs w:val="18"/>
          <w:color w:val="auto"/>
        </w:rPr>
      </w:pPr>
    </w:p>
    <w:p>
      <w:pPr>
        <w:ind w:left="500" w:right="200" w:hanging="330"/>
        <w:spacing w:after="0" w:line="282"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(Cash) totaled $140.5 million as of September 30, 2026, representing a decrease to Cash of $29.5 million in Q3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Nine Months of 2026</w:t>
      </w:r>
    </w:p>
    <w:p>
      <w:pPr>
        <w:spacing w:after="0" w:line="121" w:lineRule="exact"/>
        <w:rPr>
          <w:sz w:val="20"/>
          <w:szCs w:val="20"/>
          <w:color w:val="auto"/>
        </w:rPr>
      </w:pPr>
    </w:p>
    <w:p>
      <w:pPr>
        <w:ind w:left="500" w:right="180" w:hanging="330"/>
        <w:spacing w:after="0" w:line="282"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product sales were $172.1 million in the first nine months of 2026, an 8% increase compared to $158.9 million in the first nine months of 2025.</w:t>
      </w:r>
    </w:p>
    <w:p>
      <w:pPr>
        <w:spacing w:after="0" w:line="53"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were $309.6 million in the first nine months of 2026, a 15% increase compared to $269.7 million in the first nine months of 2025.</w:t>
      </w:r>
    </w:p>
    <w:p>
      <w:pPr>
        <w:spacing w:after="0" w:line="50" w:lineRule="exact"/>
        <w:rPr>
          <w:rFonts w:ascii="Times New Roman" w:cs="Times New Roman" w:eastAsia="Times New Roman" w:hAnsi="Times New Roman"/>
          <w:sz w:val="18"/>
          <w:szCs w:val="18"/>
          <w:color w:val="auto"/>
        </w:rPr>
      </w:pPr>
    </w:p>
    <w:p>
      <w:pPr>
        <w:ind w:left="500" w:right="60" w:hanging="330"/>
        <w:spacing w:after="0" w:line="230"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$104.3 million in the first nine months of 2026, a 24% increase compared to $84.1 million in the first nine months of 2025.</w:t>
      </w:r>
    </w:p>
    <w:p>
      <w:pPr>
        <w:spacing w:after="0" w:line="88" w:lineRule="exact"/>
        <w:rPr>
          <w:rFonts w:ascii="Times New Roman" w:cs="Times New Roman" w:eastAsia="Times New Roman" w:hAnsi="Times New Roman"/>
          <w:sz w:val="18"/>
          <w:szCs w:val="18"/>
          <w:color w:val="auto"/>
        </w:rPr>
      </w:pPr>
    </w:p>
    <w:p>
      <w:pPr>
        <w:ind w:left="500" w:right="40" w:hanging="330"/>
        <w:spacing w:after="0" w:line="230"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$43.2 million in the first nine months of 2026, a 21% decrease compared to $55.0 million in the first nine months of 2025.</w:t>
      </w:r>
    </w:p>
    <w:p>
      <w:pPr>
        <w:spacing w:after="0" w:line="88" w:lineRule="exact"/>
        <w:rPr>
          <w:rFonts w:ascii="Times New Roman" w:cs="Times New Roman" w:eastAsia="Times New Roman" w:hAnsi="Times New Roman"/>
          <w:sz w:val="18"/>
          <w:szCs w:val="18"/>
          <w:color w:val="auto"/>
        </w:rPr>
      </w:pPr>
    </w:p>
    <w:p>
      <w:pPr>
        <w:ind w:left="500" w:right="460" w:hanging="330"/>
        <w:spacing w:after="0" w:line="230"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were $21.9 million in the first nine months of 2026, an 11% increase compared to $19.8 million in the first nine months of 2025.</w:t>
      </w:r>
    </w:p>
    <w:p>
      <w:pPr>
        <w:spacing w:after="0" w:line="8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were $2.6 million in the first nine months of 2026.</w:t>
      </w:r>
    </w:p>
    <w:p>
      <w:pPr>
        <w:spacing w:after="0" w:line="6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taxes was $133.2 million in the first nine months of 2026 compared with $100.6 million in the first nine months of 2025.</w:t>
      </w:r>
    </w:p>
    <w:p>
      <w:pPr>
        <w:spacing w:after="0" w:line="117" w:lineRule="exact"/>
        <w:rPr>
          <w:rFonts w:ascii="Times New Roman" w:cs="Times New Roman" w:eastAsia="Times New Roman" w:hAnsi="Times New Roman"/>
          <w:sz w:val="18"/>
          <w:szCs w:val="18"/>
          <w:color w:val="auto"/>
        </w:rPr>
      </w:pPr>
    </w:p>
    <w:p>
      <w:pPr>
        <w:ind w:left="500" w:right="100" w:hanging="330"/>
        <w:spacing w:after="0" w:line="282"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(Cash) totaled $140.5 million as of September 30, 2026, representing a decrease to Cash of $123.4 million compared to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Commercial Highlights</w:t>
      </w:r>
    </w:p>
    <w:p>
      <w:pPr>
        <w:spacing w:after="0" w:line="118" w:lineRule="exact"/>
        <w:rPr>
          <w:sz w:val="20"/>
          <w:szCs w:val="20"/>
          <w:color w:val="auto"/>
        </w:rPr>
      </w:pPr>
    </w:p>
    <w:p>
      <w:pPr>
        <w:ind w:left="500" w:right="300" w:hanging="330"/>
        <w:spacing w:after="0" w:line="223"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saw continued strong momentum in Q3 2026, with total prescriptions (TRx)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up 25% and new-to-brand prescriptions (NBRx)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up 18% versus Q3 2025. Since commercial expansion following the approval of bipolar disorder,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seen significant growth, with TRx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up 72% and NBRx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up 306% versus Q2 2024.</w:t>
      </w:r>
    </w:p>
    <w:p>
      <w:pPr>
        <w:spacing w:after="0" w:line="18" w:lineRule="exact"/>
        <w:rPr>
          <w:rFonts w:ascii="Times New Roman" w:cs="Times New Roman" w:eastAsia="Times New Roman" w:hAnsi="Times New Roman"/>
          <w:sz w:val="18"/>
          <w:szCs w:val="18"/>
          <w:color w:val="auto"/>
        </w:rPr>
      </w:pPr>
    </w:p>
    <w:p>
      <w:pPr>
        <w:ind w:left="500" w:right="60" w:hanging="330"/>
        <w:spacing w:after="0" w:line="218"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received U.S. Food and Drug Administration (FDA) approval for the treatment of bipolar I disorder and schizophrenia in Q1 2026 and is expected to launch in Q4 2026.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protected by data exclusivity through February 20, 2031 and multiple patents, the latest of which expires on May 31, 2044.</w:t>
      </w:r>
    </w:p>
    <w:p>
      <w:pPr>
        <w:spacing w:after="0" w:line="114" w:lineRule="exact"/>
        <w:rPr>
          <w:rFonts w:ascii="Times New Roman" w:cs="Times New Roman" w:eastAsia="Times New Roman" w:hAnsi="Times New Roman"/>
          <w:sz w:val="18"/>
          <w:szCs w:val="18"/>
          <w:color w:val="auto"/>
        </w:rPr>
      </w:pPr>
    </w:p>
    <w:p>
      <w:pPr>
        <w:ind w:left="500" w:right="20" w:hanging="330"/>
        <w:spacing w:after="0" w:line="236" w:lineRule="auto"/>
        <w:tabs>
          <w:tab w:leader="none" w:pos="48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Vanda launched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commercially in the U.S. in Q2 2026, with the direct-to-consumer offering via the web portal </w:t>
      </w:r>
      <w:r>
        <w:rPr>
          <w:rFonts w:ascii="Times New Roman" w:cs="Times New Roman" w:eastAsia="Times New Roman" w:hAnsi="Times New Roman"/>
          <w:sz w:val="18"/>
          <w:szCs w:val="18"/>
          <w:color w:val="0000FF"/>
        </w:rPr>
        <w:t>nereus.us,</w:t>
      </w:r>
      <w:r>
        <w:rPr>
          <w:rFonts w:ascii="Times New Roman" w:cs="Times New Roman" w:eastAsia="Times New Roman" w:hAnsi="Times New Roman"/>
          <w:sz w:val="18"/>
          <w:szCs w:val="18"/>
          <w:color w:val="auto"/>
        </w:rPr>
        <w:t xml:space="preserve"> and began sales force promotion in Q3 2026. During Q3 2026, the NEREUS™ launch showed strong growth in both total prescriptions and unique prescribers as compared to Q2 2026.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Regulatory &amp; Clinical Development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&amp; Upcoming Milestones</w:t>
      </w:r>
    </w:p>
    <w:p>
      <w:pPr>
        <w:spacing w:after="0" w:line="121" w:lineRule="exact"/>
        <w:rPr>
          <w:sz w:val="20"/>
          <w:szCs w:val="20"/>
          <w:color w:val="auto"/>
        </w:rPr>
      </w:pPr>
    </w:p>
    <w:p>
      <w:pPr>
        <w:ind w:left="500" w:hanging="330"/>
        <w:spacing w:after="0" w:line="266"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Vanda announced positive results from the Phase III clinical study, VP-VLY-686-3601, of NEREUS™ for the prevention of vomiting associated with GLP-1 receptor agonist therapy. Vanda intends to discuss the results with the FDA and plans to submit a supplemental New Drug Application (sNDA) seeking approval of NEREUS™ for the prevention of vomiting associated with GLP-1 receptor agonist therapy.</w:t>
      </w:r>
    </w:p>
    <w:p>
      <w:pPr>
        <w:spacing w:after="0" w:line="64" w:lineRule="exact"/>
        <w:rPr>
          <w:rFonts w:ascii="Times New Roman" w:cs="Times New Roman" w:eastAsia="Times New Roman" w:hAnsi="Times New Roman"/>
          <w:sz w:val="18"/>
          <w:szCs w:val="18"/>
          <w:color w:val="auto"/>
        </w:rPr>
      </w:pPr>
    </w:p>
    <w:p>
      <w:pPr>
        <w:ind w:left="500" w:right="140" w:hanging="330"/>
        <w:spacing w:after="0" w:line="223"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2026, Vanda announced positive topline results from the pivotal Phase III study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adults with Delayed Sleep-Wake Phase Disorder (DSWPD). Vanda intends to discuss these data with the FDA and to submit an sNDA seeking approval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DSWPD. If approved,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would be the first FDA-approved medicine indicated for this condition.</w:t>
      </w:r>
    </w:p>
    <w:p>
      <w:pPr>
        <w:sectPr>
          <w:pgSz w:w="11900" w:h="16838" w:orient="portrait"/>
          <w:cols w:equalWidth="0" w:num="1">
            <w:col w:w="11240"/>
          </w:cols>
          <w:pgMar w:left="320" w:top="995" w:right="339" w:bottom="1440" w:gutter="0" w:footer="0" w:header="0"/>
        </w:sectPr>
      </w:pPr>
    </w:p>
    <w:bookmarkStart w:id="5" w:name="page6"/>
    <w:bookmarkEnd w:id="5"/>
    <w:p>
      <w:pPr>
        <w:ind w:left="500" w:right="60" w:hanging="330"/>
        <w:spacing w:after="0" w:line="267"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Biologics License Application (BLA) for Quimilza™ in Generalized Pustular Psoriasis (GPP) is under review by the FDA with a Prescription Drug User Fee Act (PDUFA) target action date of December 12, 2026. The results of the pivotal clinical study were published in the April 28, 2026 issue of the New England Journal of Medicine (NEJM) Evidence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00" w:right="20" w:hanging="330"/>
        <w:spacing w:after="0" w:line="258"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III study of BYSANTI™ as a once-daily adjunctive treatment for major depressive disorder (MDD) is ongoing, with results expected in the first half of 2027. The study is enrolling patients in 54 sites in the U.S. and Europe and has enrolled 55% of the 500 patient enrollment target. The primary endpoint of the study is the change from baseline to week 6 of the Montgomery-Asberg Depression Rating Scale (MADRS) comparing milsaperidone and placebo. Secondary endpoints include Clinical Global Impression – Severity (CGI-S) and Clinical Global Impression – Change (CGI-C).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Proceedings</w:t>
      </w:r>
    </w:p>
    <w:p>
      <w:pPr>
        <w:spacing w:after="0" w:line="118" w:lineRule="exact"/>
        <w:rPr>
          <w:sz w:val="20"/>
          <w:szCs w:val="20"/>
          <w:color w:val="auto"/>
        </w:rPr>
      </w:pPr>
    </w:p>
    <w:p>
      <w:pPr>
        <w:ind w:left="500" w:right="120" w:hanging="330"/>
        <w:spacing w:after="0" w:line="253" w:lineRule="auto"/>
        <w:tabs>
          <w:tab w:leader="none" w:pos="4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Vanda continues to progress the FDA formal hearing regarding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jet lag disorder. The proceeding, a rare administrative hearing process granted after the D.C. Circuit set aside the FDA’s prior refusal to approve the application, is advancing according to schedule and is expected to culminate in a five-day hearing before the Administrative Law Judge from December 14, 2026 to December 18, 2026.</w:t>
      </w:r>
    </w:p>
    <w:p>
      <w:pPr>
        <w:spacing w:after="0" w:line="77" w:lineRule="exact"/>
        <w:rPr>
          <w:rFonts w:ascii="Times New Roman" w:cs="Times New Roman" w:eastAsia="Times New Roman" w:hAnsi="Times New Roman"/>
          <w:sz w:val="17"/>
          <w:szCs w:val="17"/>
          <w:color w:val="auto"/>
        </w:rPr>
      </w:pPr>
    </w:p>
    <w:p>
      <w:pPr>
        <w:jc w:val="both"/>
        <w:ind w:left="500" w:right="60" w:hanging="330"/>
        <w:spacing w:after="0" w:line="236"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continues to pursue its legal challenge to FDA’s final order refusing to hold a hearing or to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insomnia. Following oral argument before the U.S. Court of Appeals for the D.C. Circuit in September 2026, the matter is awaiting decision.</w:t>
      </w:r>
    </w:p>
    <w:p>
      <w:pPr>
        <w:spacing w:after="0" w:line="92"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continues to pursue its legal challenge to FDA’s final order refusing to hold a hearing or to approve the Company’s NDA for NEREUS™ in gastroparesis. Briefing is currently underway before the DC Circuit, and is due to be completed in mid-November.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Financial Results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loss was $22.6 million (diluted loss per share of $0.37) in Q3 2026 compared with a net loss of $22.6 million (diluted loss per share of $0.38) in Q3 2025 and a net loss of $62.5 million (diluted net loss per share of $1.04) in Q2 2026.</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loss was $133.6 million (diluted loss per share of $2.23) in the first nine months of 2026 compared with a net loss of $79.3 million (diluted loss per share of $1.35) in the first nine months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 is updating its 2026 financial guidance and expects to achieve total revenue for full year 2026 of greater than $240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Vanda has scheduled a conference call for today, Wednesday, October 28, 2026, at 4:30 PM ET. During the call, Vanda’s management will discuss the third quarter 2026 financial results and other corporate activities. Investors can call 1-800-715-9871 (domestic) or 1-646-307-1963 (international) and use passcode number 1178705. A replay of the call will be available on Wednesday, October 28, 2026, beginning at 8:30 PM ET and will be accessible until Wednesday, November 4, 2026 at 11:59 PM ET. The replay call-in number is 1-800-770-2030 for domestic callers and 1-609-800-9909 for international callers. The passcode number is 1178705.</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The conference call will be broadcast simultaneously on Vanda’s website, </w:t>
      </w:r>
      <w:r>
        <w:rPr>
          <w:rFonts w:ascii="Times New Roman" w:cs="Times New Roman" w:eastAsia="Times New Roman" w:hAnsi="Times New Roman"/>
          <w:sz w:val="18"/>
          <w:szCs w:val="18"/>
          <w:color w:val="0000FF"/>
        </w:rPr>
        <w:t>www.vandapharma.com</w:t>
      </w:r>
      <w:r>
        <w:rPr>
          <w:rFonts w:ascii="Times New Roman" w:cs="Times New Roman" w:eastAsia="Times New Roman" w:hAnsi="Times New Roman"/>
          <w:sz w:val="18"/>
          <w:szCs w:val="18"/>
          <w:color w:val="auto"/>
        </w:rPr>
        <w:t>. Investors should click on the Investors tab and are advised to go to the website at least 15 minutes early to register, download, and install any necessary software or presentations. The call will also be archived on Vanda’s website for a period of 30 days.</w:t>
      </w:r>
    </w:p>
    <w:p>
      <w:pPr>
        <w:sectPr>
          <w:pgSz w:w="11900" w:h="16838" w:orient="portrait"/>
          <w:cols w:equalWidth="0" w:num="1">
            <w:col w:w="11180"/>
          </w:cols>
          <w:pgMar w:left="320" w:top="99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IQVIA Prescription Data</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Smieszek, 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Efficacy and Safety of Imsidolimab for Generalized Pustular Psoriasis. </w:t>
      </w:r>
      <w:r>
        <w:rPr>
          <w:rFonts w:ascii="Times New Roman" w:cs="Times New Roman" w:eastAsia="Times New Roman" w:hAnsi="Times New Roman"/>
          <w:sz w:val="18"/>
          <w:szCs w:val="18"/>
          <w:i w:val="1"/>
          <w:iCs w:val="1"/>
          <w:color w:val="auto"/>
        </w:rPr>
        <w:t>NEJM Evidence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Vanda Pharmaceuticals Inc.</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Vanda is a leading global biopharmaceutical company focused on the development and commercialization of innovative therapies to address high unmet medical needs and improve the lives of patients. For more on Vanda Pharmaceuticals Inc., please visit </w:t>
      </w:r>
      <w:r>
        <w:rPr>
          <w:rFonts w:ascii="Times New Roman" w:cs="Times New Roman" w:eastAsia="Times New Roman" w:hAnsi="Times New Roman"/>
          <w:sz w:val="18"/>
          <w:szCs w:val="18"/>
          <w:color w:val="0E32E1"/>
        </w:rPr>
        <w:t>www.vandapharma.com</w:t>
      </w:r>
      <w:r>
        <w:rPr>
          <w:rFonts w:ascii="Times New Roman" w:cs="Times New Roman" w:eastAsia="Times New Roman" w:hAnsi="Times New Roman"/>
          <w:sz w:val="18"/>
          <w:szCs w:val="18"/>
          <w:color w:val="auto"/>
        </w:rPr>
        <w:t xml:space="preserve"> and follow us on X @vandapharma.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 LOOKING STATEMENTS</w:t>
      </w:r>
    </w:p>
    <w:p>
      <w:pPr>
        <w:spacing w:after="0" w:line="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Various statements in this press release, including, but not limited to, the guidance provided under “2026 Financial Guidance” above and statements regarding the expected timing of the commercial launch of BYSANTI™ for the treatment of bipolar I disorder and schizophrenia; the anticipated timing of the completion of the FDA’s review of the Quimilza™ BLA for the treatment of GPP; Vanda’s plans and expectations regarding the regulatory path for NEREUS™ for the prevention of vomiting associated with GLP-1 receptor agonist therapy; Vanda’s clinical development and regulatory plans and expected timeline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DSWPD; Vanda’s expectations with respect to its operating expense run rate; Vanda’s clinical development plans and expected timeline for BYSANTI™ for the treatment of MDD; Vanda’s continued pursuit of FDA approval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jet lag disorder and Vanda’s expectations with respect to the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evidentiary hearing; Vanda’s continued pursuit of FDA approval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insomnia and NEREUS™ for the treatment of gastroparesis; and Vanda’s expectations with respect to the strength of its business are “forward-looking statements” under the securities laws. All statements other than statements of historical fact are statements that could be deemed forward-looking statements. Forward-looking statements are based upon current expectations and assumptions that involve risks, changes in circumstances and uncertainties. Important factors that could cause actual results to differ materially from those reflected in Vanda’s forward-looking statements include, among others, Vanda’s ability to continue to grow its business; Vanda’s ability to successfully execute the commercial launch of BYSANTI™ for the treatments of bipolar I disorder and schizophrenia in Q4 2026; Vanda’s ability to successfully launch and commercialize its recently approved products and any product that may be approved in the future; Vanda’s ability to continue to reduce its operating expenses; the FDA’s ability to complete its review of, and reach a decision with respect to, the BLA for Quimilza™ by December 12, 2026; the FDA’s willingness to meet with Vanda to discuss the NEREUS™ Phase III clinical study results and Vanda’s ability to gain alignment with the FDA on the regulatory path for NEREUS™ and submit an sNDA for NEREUS™ for the prevention of vomiting associated with GLP-1 receptor agonist therapy; the FDA’s willingness to meet with Vanda to discuss the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Phase III clinical study results and Vanda’s ability to gain alignment with the FDA on the regulatory path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DSWPD and to obtain regulatory approval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this indication; Vanda’s ability to meet its enrollment target for, and complete, the Phase III study for BYSANTI™ for the treatment of MDD and receive results in the first half of 2027; and the outcomes of the administrative hearing process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jet lag disorder and the court cases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insomnia and NEREUS™ for the treatment of gastroparesis. Therefore, no assurance can be given that the results or developments anticipated by Vanda will be realized or, even if substantially realized, that they will have the expected consequences to, or effects on, Vanda. Forward-looking statements in this press release should be evaluated together with the various risks and uncertainties that affect Vanda’s business and market, particularly those identified in the “Cautionary Note Regarding Forward-Looking Statements”, “Risk Factors” and “Management’s Discussion and Analysis of Financial Condition and Results of Operations” sections of Vanda’s most recent Annual Report on Form 10-K, as updated by Vanda’s subsequent Quarterly Reports on Form 10-Q, Current Reports on Form 8-K and other filings with the U.S. Securities and Exchange Commission, which are available at www.sec.gov.</w:t>
      </w:r>
    </w:p>
    <w:p>
      <w:pPr>
        <w:spacing w:after="0" w:line="2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written and verbal forward-looking statements attributable to Vanda or any person acting on its behalf are expressly qualified in their entirety by the cautionary statements contained or referred to herein. Vanda cautions investors not to rely too heavily on the forward-looking statements Vanda makes or that are made on its behalf. The information in this press release is provided only as of the date of this press release, and Vanda undertakes no obligation, and specifically declines any obligation, to update or revise publicly any forward-looking statements, whether as a result of new information, future events or otherwise, except as required by law.</w:t>
      </w:r>
    </w:p>
    <w:p>
      <w:pPr>
        <w:sectPr>
          <w:pgSz w:w="11900" w:h="16838" w:orient="portrait"/>
          <w:cols w:equalWidth="0" w:num="1">
            <w:col w:w="11200"/>
          </w:cols>
          <w:pgMar w:left="320" w:top="1211"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94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44"/>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Pr>
          <w:p>
            <w:pPr>
              <w:jc w:val="right"/>
              <w:ind w:right="25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net 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84,084</w:t>
            </w:r>
          </w:p>
        </w:tc>
      </w:tr>
      <w:tr>
        <w:trPr>
          <w:trHeight w:val="243"/>
        </w:trPr>
        <w:tc>
          <w:tcPr>
            <w:tcW w:w="4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net product sales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w:t>
            </w:r>
          </w:p>
        </w:tc>
      </w:tr>
      <w:tr>
        <w:trPr>
          <w:trHeight w:val="243"/>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net product sales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w:t>
            </w:r>
          </w:p>
        </w:tc>
      </w:tr>
      <w:tr>
        <w:trPr>
          <w:trHeight w:val="243"/>
        </w:trPr>
        <w:tc>
          <w:tcPr>
            <w:tcW w:w="4820" w:type="dxa"/>
            <w:vAlign w:val="bottom"/>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158,889</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80,265</w:t>
            </w:r>
          </w:p>
        </w:tc>
      </w:tr>
      <w:tr>
        <w:trPr>
          <w:trHeight w:val="24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174,973</w:t>
            </w: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37"/>
        </w:trPr>
        <w:tc>
          <w:tcPr>
            <w:tcW w:w="4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309,616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269,704</w:t>
            </w: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(110,815)</w:t>
            </w:r>
          </w:p>
        </w:tc>
      </w:tr>
      <w:tr>
        <w:trPr>
          <w:trHeight w:val="243"/>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(100,645)</w:t>
            </w:r>
          </w:p>
        </w:tc>
      </w:tr>
      <w:tr>
        <w:trPr>
          <w:trHeight w:val="243"/>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(21,358)</w:t>
            </w:r>
          </w:p>
        </w:tc>
      </w:tr>
      <w:tr>
        <w:trPr>
          <w:trHeight w:val="26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1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60,465,170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59,091,478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60,054,252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58,873,268</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60,465,170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59,091,478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60,054,252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58,873,268</w:t>
            </w: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3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w:t>
            </w:r>
          </w:p>
        </w:tc>
      </w:tr>
      <w:tr>
        <w:trPr>
          <w:trHeight w:val="243"/>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178,996</w:t>
            </w: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54,578</w:t>
            </w:r>
          </w:p>
        </w:tc>
      </w:tr>
      <w:tr>
        <w:trPr>
          <w:trHeight w:val="243"/>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w:t>
            </w:r>
          </w:p>
        </w:tc>
      </w:tr>
      <w:tr>
        <w:trPr>
          <w:trHeight w:val="237"/>
        </w:trPr>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347,262</w:t>
            </w:r>
          </w:p>
        </w:tc>
      </w:tr>
      <w:tr>
        <w:trPr>
          <w:trHeight w:val="243"/>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43"/>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117,089</w:t>
            </w:r>
          </w:p>
        </w:tc>
      </w:tr>
      <w:tr>
        <w:trPr>
          <w:trHeight w:val="243"/>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r>
      <w:tr>
        <w:trPr>
          <w:trHeight w:val="236"/>
        </w:trPr>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w:t>
            </w:r>
          </w:p>
        </w:tc>
      </w:tr>
      <w:tr>
        <w:trPr>
          <w:trHeight w:val="243"/>
        </w:trPr>
        <w:tc>
          <w:tcPr>
            <w:tcW w:w="7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76,865</w:t>
            </w:r>
          </w:p>
        </w:tc>
      </w:tr>
      <w:tr>
        <w:trPr>
          <w:trHeight w:val="237"/>
        </w:trPr>
        <w:tc>
          <w:tcPr>
            <w:tcW w:w="78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145,162</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43"/>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4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w:t>
            </w:r>
          </w:p>
        </w:tc>
      </w:tr>
      <w:tr>
        <w:trPr>
          <w:trHeight w:val="237"/>
        </w:trPr>
        <w:tc>
          <w:tcPr>
            <w:tcW w:w="78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161,762</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721,264</w:t>
            </w:r>
          </w:p>
        </w:tc>
      </w:tr>
      <w:tr>
        <w:trPr>
          <w:trHeight w:val="24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43"/>
        </w:trPr>
        <w:tc>
          <w:tcPr>
            <w:tcW w:w="7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(528,408)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(394,766)</w:t>
            </w:r>
          </w:p>
        </w:tc>
      </w:tr>
      <w:tr>
        <w:trPr>
          <w:trHeight w:val="236"/>
        </w:trPr>
        <w:tc>
          <w:tcPr>
            <w:tcW w:w="78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327,186</w:t>
            </w:r>
          </w:p>
        </w:tc>
      </w:tr>
      <w:tr>
        <w:trPr>
          <w:trHeight w:val="237"/>
        </w:trPr>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8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Moran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202-734-3400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pr@vandapharma.com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Golden / Jack Kelleher / Dan Moore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VANDA-CS@collectedstrategies.com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us on X @vandapharma</w:t>
      </w:r>
    </w:p>
    <w:sectPr>
      <w:pgSz w:w="11900" w:h="16838" w:orient="portrait"/>
      <w:cols w:equalWidth="0" w:num="1">
        <w:col w:w="10139"/>
      </w:cols>
      <w:pgMar w:left="320" w:top="8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upperLetter"/>
      <w:start w:val="6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2026-10-28T15:20:44Z</dcterms:created>
  <dcterms:modified xsi:type="dcterms:W3CDTF">2026-10-28T15:20:44Z</dcterms:modified>
</cp:coreProperties>
</file>