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359410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384810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85725</wp:posOffset>
            </wp:positionV>
            <wp:extent cx="17399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2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87630</wp:posOffset>
            </wp:positionV>
            <wp:extent cx="17399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7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27"/>
          <w:szCs w:val="27"/>
          <w:color w:val="auto"/>
        </w:rPr>
      </w:pPr>
      <w:r>
        <w:rPr>
          <w:rFonts w:ascii="Times New Roman" w:cs="Times New Roman" w:eastAsia="Times New Roman" w:hAnsi="Times New Roman"/>
          <w:sz w:val="20"/>
          <w:szCs w:val="20"/>
          <w:b w:val="1"/>
          <w:bCs w:val="1"/>
          <w:color w:val="auto"/>
        </w:rPr>
        <w:t>QUARTERLY</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200" w:lineRule="exact"/>
        <w:rPr>
          <w:sz w:val="24"/>
          <w:szCs w:val="24"/>
          <w:color w:val="auto"/>
        </w:rPr>
      </w:pPr>
    </w:p>
    <w:p>
      <w:pPr>
        <w:spacing w:after="0" w:line="25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3" w:lineRule="exact"/>
        <w:rPr>
          <w:sz w:val="24"/>
          <w:szCs w:val="24"/>
          <w:color w:val="auto"/>
        </w:rPr>
      </w:pPr>
    </w:p>
    <w:p>
      <w:pPr>
        <w:ind w:left="420" w:hanging="394"/>
        <w:spacing w:after="0"/>
        <w:tabs>
          <w:tab w:leader="none" w:pos="420" w:val="left"/>
        </w:tabs>
        <w:numPr>
          <w:ilvl w:val="0"/>
          <w:numId w:val="2"/>
        </w:numPr>
        <w:rPr>
          <w:rFonts w:ascii="MS PGothic" w:cs="MS PGothic" w:eastAsia="MS PGothic" w:hAnsi="MS PGothic"/>
          <w:sz w:val="27"/>
          <w:szCs w:val="27"/>
          <w:color w:val="auto"/>
        </w:rPr>
      </w:pPr>
      <w:r>
        <w:rPr>
          <w:rFonts w:ascii="Times New Roman" w:cs="Times New Roman" w:eastAsia="Times New Roman" w:hAnsi="Times New Roman"/>
          <w:sz w:val="20"/>
          <w:szCs w:val="20"/>
          <w:b w:val="1"/>
          <w:bCs w:val="1"/>
          <w:color w:val="auto"/>
        </w:rPr>
        <w:t>TRANSITION</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200" w:lineRule="exact"/>
        <w:rPr>
          <w:sz w:val="24"/>
          <w:szCs w:val="24"/>
          <w:color w:val="auto"/>
        </w:rPr>
      </w:pPr>
    </w:p>
    <w:p>
      <w:pPr>
        <w:spacing w:after="0" w:line="243"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18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0465" cy="8255"/>
                    </a:xfrm>
                    <a:prstGeom prst="rect">
                      <a:avLst/>
                    </a:prstGeom>
                    <a:noFill/>
                  </pic:spPr>
                </pic:pic>
              </a:graphicData>
            </a:graphic>
          </wp:anchor>
        </w:drawing>
      </w:r>
    </w:p>
    <w:p>
      <w:pPr>
        <w:spacing w:after="0" w:line="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Commission File Number: 001-34186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177165</wp:posOffset>
            </wp:positionV>
            <wp:extent cx="17399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37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VANDA PHARMACEUTICALS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55880</wp:posOffset>
            </wp:positionV>
            <wp:extent cx="1739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tbl>
      <w:tblPr>
        <w:tblLayout w:type="fixed"/>
        <w:tblInd w:w="1960" w:type="dxa"/>
        <w:tblCellMar>
          <w:top w:w="0" w:type="dxa"/>
          <w:left w:w="0" w:type="dxa"/>
          <w:bottom w:w="0" w:type="dxa"/>
          <w:right w:w="0" w:type="dxa"/>
        </w:tblCellMar>
      </w:tblPr>
      <w:tr>
        <w:trPr>
          <w:trHeight w:val="227"/>
        </w:trPr>
        <w:tc>
          <w:tcPr>
            <w:tcW w:w="1960" w:type="dxa"/>
            <w:vAlign w:val="bottom"/>
          </w:tcPr>
          <w:p>
            <w:pPr>
              <w:jc w:val="center"/>
              <w:ind w:right="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60" w:type="dxa"/>
            <w:vAlign w:val="bottom"/>
            <w:gridSpan w:val="3"/>
          </w:tcPr>
          <w:p>
            <w:pPr>
              <w:jc w:val="center"/>
              <w:ind w:left="3955"/>
              <w:spacing w:after="0"/>
              <w:rPr>
                <w:sz w:val="20"/>
                <w:szCs w:val="20"/>
                <w:color w:val="auto"/>
              </w:rPr>
            </w:pPr>
            <w:r>
              <w:rPr>
                <w:rFonts w:ascii="Times New Roman" w:cs="Times New Roman" w:eastAsia="Times New Roman" w:hAnsi="Times New Roman"/>
                <w:sz w:val="18"/>
                <w:szCs w:val="18"/>
                <w:b w:val="1"/>
                <w:bCs w:val="1"/>
                <w:color w:val="auto"/>
              </w:rPr>
              <w:t>03-0491827</w:t>
            </w:r>
          </w:p>
        </w:tc>
      </w:tr>
      <w:tr>
        <w:trPr>
          <w:trHeight w:val="148"/>
        </w:trPr>
        <w:tc>
          <w:tcPr>
            <w:tcW w:w="196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080" w:type="dxa"/>
            <w:vAlign w:val="bottom"/>
          </w:tcPr>
          <w:p>
            <w:pPr>
              <w:jc w:val="center"/>
              <w:ind w:left="84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96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080" w:type="dxa"/>
            <w:vAlign w:val="bottom"/>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0"/>
        </w:trPr>
        <w:tc>
          <w:tcPr>
            <w:tcW w:w="1960" w:type="dxa"/>
            <w:vAlign w:val="bottom"/>
          </w:tcPr>
          <w:p>
            <w:pPr>
              <w:spacing w:after="0"/>
              <w:rPr>
                <w:sz w:val="24"/>
                <w:szCs w:val="24"/>
                <w:color w:val="auto"/>
              </w:rPr>
            </w:pPr>
          </w:p>
        </w:tc>
        <w:tc>
          <w:tcPr>
            <w:tcW w:w="5160" w:type="dxa"/>
            <w:vAlign w:val="bottom"/>
            <w:gridSpan w:val="3"/>
          </w:tcPr>
          <w:p>
            <w:pPr>
              <w:jc w:val="center"/>
              <w:ind w:right="1688"/>
              <w:spacing w:after="0"/>
              <w:rPr>
                <w:sz w:val="20"/>
                <w:szCs w:val="20"/>
                <w:color w:val="auto"/>
              </w:rPr>
            </w:pPr>
            <w:r>
              <w:rPr>
                <w:rFonts w:ascii="Times New Roman" w:cs="Times New Roman" w:eastAsia="Times New Roman" w:hAnsi="Times New Roman"/>
                <w:sz w:val="18"/>
                <w:szCs w:val="18"/>
                <w:b w:val="1"/>
                <w:bCs w:val="1"/>
                <w:color w:val="auto"/>
                <w:w w:val="98"/>
              </w:rPr>
              <w:t>2200 Pennsylvania Avenue NW, Suite 300E</w:t>
            </w:r>
          </w:p>
        </w:tc>
      </w:tr>
      <w:tr>
        <w:trPr>
          <w:trHeight w:val="216"/>
        </w:trPr>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20" w:type="dxa"/>
            <w:vAlign w:val="bottom"/>
            <w:gridSpan w:val="2"/>
          </w:tcPr>
          <w:p>
            <w:pPr>
              <w:jc w:val="center"/>
              <w:ind w:right="2028"/>
              <w:spacing w:after="0"/>
              <w:rPr>
                <w:sz w:val="20"/>
                <w:szCs w:val="20"/>
                <w:color w:val="auto"/>
              </w:rPr>
            </w:pPr>
            <w:r>
              <w:rPr>
                <w:rFonts w:ascii="Times New Roman" w:cs="Times New Roman" w:eastAsia="Times New Roman" w:hAnsi="Times New Roman"/>
                <w:sz w:val="18"/>
                <w:szCs w:val="18"/>
                <w:b w:val="1"/>
                <w:bCs w:val="1"/>
                <w:color w:val="auto"/>
                <w:w w:val="99"/>
              </w:rPr>
              <w:t>Washington, DC 20037</w:t>
            </w:r>
          </w:p>
        </w:tc>
      </w:tr>
      <w:tr>
        <w:trPr>
          <w:trHeight w:val="214"/>
        </w:trPr>
        <w:tc>
          <w:tcPr>
            <w:tcW w:w="1960" w:type="dxa"/>
            <w:vAlign w:val="bottom"/>
          </w:tcPr>
          <w:p>
            <w:pPr>
              <w:spacing w:after="0"/>
              <w:rPr>
                <w:sz w:val="18"/>
                <w:szCs w:val="18"/>
                <w:color w:val="auto"/>
              </w:rPr>
            </w:pPr>
          </w:p>
        </w:tc>
        <w:tc>
          <w:tcPr>
            <w:tcW w:w="3080" w:type="dxa"/>
            <w:vAlign w:val="bottom"/>
            <w:gridSpan w:val="2"/>
          </w:tcPr>
          <w:p>
            <w:pPr>
              <w:jc w:val="center"/>
              <w:ind w:left="235"/>
              <w:spacing w:after="0"/>
              <w:rPr>
                <w:sz w:val="20"/>
                <w:szCs w:val="20"/>
                <w:color w:val="auto"/>
              </w:rPr>
            </w:pPr>
            <w:r>
              <w:rPr>
                <w:rFonts w:ascii="Times New Roman" w:cs="Times New Roman" w:eastAsia="Times New Roman" w:hAnsi="Times New Roman"/>
                <w:sz w:val="18"/>
                <w:szCs w:val="18"/>
                <w:b w:val="1"/>
                <w:bCs w:val="1"/>
                <w:color w:val="auto"/>
                <w:w w:val="99"/>
              </w:rPr>
              <w:t>(202) 734-3400</w:t>
            </w:r>
          </w:p>
        </w:tc>
        <w:tc>
          <w:tcPr>
            <w:tcW w:w="2080" w:type="dxa"/>
            <w:vAlign w:val="bottom"/>
          </w:tcPr>
          <w:p>
            <w:pPr>
              <w:spacing w:after="0"/>
              <w:rPr>
                <w:sz w:val="18"/>
                <w:szCs w:val="18"/>
                <w:color w:val="auto"/>
              </w:rPr>
            </w:pPr>
          </w:p>
        </w:tc>
      </w:tr>
      <w:tr>
        <w:trPr>
          <w:trHeight w:val="190"/>
        </w:trPr>
        <w:tc>
          <w:tcPr>
            <w:tcW w:w="1960" w:type="dxa"/>
            <w:vAlign w:val="bottom"/>
          </w:tcPr>
          <w:p>
            <w:pPr>
              <w:spacing w:after="0"/>
              <w:rPr>
                <w:sz w:val="16"/>
                <w:szCs w:val="16"/>
                <w:color w:val="auto"/>
              </w:rPr>
            </w:pPr>
          </w:p>
        </w:tc>
        <w:tc>
          <w:tcPr>
            <w:tcW w:w="5160" w:type="dxa"/>
            <w:vAlign w:val="bottom"/>
            <w:gridSpan w:val="3"/>
          </w:tcPr>
          <w:p>
            <w:pPr>
              <w:jc w:val="center"/>
              <w:ind w:right="168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91"/>
        </w:trPr>
        <w:tc>
          <w:tcPr>
            <w:tcW w:w="1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740" w:type="dxa"/>
            <w:vAlign w:val="bottom"/>
            <w:tcBorders>
              <w:bottom w:val="single" w:sz="8" w:color="auto"/>
            </w:tcBorders>
          </w:tcPr>
          <w:p>
            <w:pPr>
              <w:spacing w:after="0"/>
              <w:rPr>
                <w:sz w:val="7"/>
                <w:szCs w:val="7"/>
                <w:color w:val="auto"/>
              </w:rPr>
            </w:pPr>
          </w:p>
        </w:tc>
        <w:tc>
          <w:tcPr>
            <w:tcW w:w="2080" w:type="dxa"/>
            <w:vAlign w:val="bottom"/>
          </w:tcPr>
          <w:p>
            <w:pPr>
              <w:spacing w:after="0"/>
              <w:rPr>
                <w:sz w:val="7"/>
                <w:szCs w:val="7"/>
                <w:color w:val="auto"/>
              </w:rPr>
            </w:pPr>
          </w:p>
        </w:tc>
      </w:tr>
    </w:tbl>
    <w:p>
      <w:pPr>
        <w:spacing w:after="0" w:line="19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Exchange Act:</w:t>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tbl>
      <w:tblPr>
        <w:tblLayout w:type="fixed"/>
        <w:tblInd w:w="44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60" w:type="dxa"/>
            <w:vAlign w:val="bottom"/>
          </w:tcPr>
          <w:p>
            <w:pPr>
              <w:spacing w:after="0"/>
              <w:rPr>
                <w:sz w:val="13"/>
                <w:szCs w:val="13"/>
                <w:color w:val="auto"/>
              </w:rPr>
            </w:pPr>
          </w:p>
        </w:tc>
        <w:tc>
          <w:tcPr>
            <w:tcW w:w="202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320" w:type="dxa"/>
            <w:vAlign w:val="bottom"/>
            <w:gridSpan w:val="2"/>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0"/>
        </w:trPr>
        <w:tc>
          <w:tcPr>
            <w:tcW w:w="10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r>
      <w:tr>
        <w:trPr>
          <w:trHeight w:val="264"/>
        </w:trPr>
        <w:tc>
          <w:tcPr>
            <w:tcW w:w="4600" w:type="dxa"/>
            <w:vAlign w:val="bottom"/>
            <w:gridSpan w:val="3"/>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02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VNDA</w:t>
            </w:r>
          </w:p>
        </w:tc>
        <w:tc>
          <w:tcPr>
            <w:tcW w:w="860" w:type="dxa"/>
            <w:vAlign w:val="bottom"/>
          </w:tcPr>
          <w:p>
            <w:pPr>
              <w:spacing w:after="0"/>
              <w:rPr>
                <w:sz w:val="22"/>
                <w:szCs w:val="22"/>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bl>
    <w:p>
      <w:pPr>
        <w:spacing w:after="0" w:line="306"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03"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03"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1220" w:type="dxa"/>
        <w:tblCellMar>
          <w:top w:w="0" w:type="dxa"/>
          <w:left w:w="0" w:type="dxa"/>
          <w:bottom w:w="0" w:type="dxa"/>
          <w:right w:w="0" w:type="dxa"/>
        </w:tblCellMar>
      </w:tblPr>
      <w:tr>
        <w:trPr>
          <w:trHeight w:val="28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50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rPr>
              <w:t>☐</w:t>
            </w:r>
          </w:p>
        </w:tc>
        <w:tc>
          <w:tcPr>
            <w:tcW w:w="3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Accelerated filer</w:t>
            </w:r>
          </w:p>
        </w:tc>
        <w:tc>
          <w:tcPr>
            <w:tcW w:w="1220" w:type="dxa"/>
            <w:vAlign w:val="bottom"/>
          </w:tcPr>
          <w:p>
            <w:pPr>
              <w:ind w:left="1040"/>
              <w:spacing w:after="0"/>
              <w:rPr>
                <w:sz w:val="20"/>
                <w:szCs w:val="20"/>
                <w:color w:val="auto"/>
              </w:rPr>
            </w:pPr>
            <w:r>
              <w:rPr>
                <w:rFonts w:ascii="Wingdings" w:cs="Wingdings" w:eastAsia="Wingdings" w:hAnsi="Wingdings"/>
                <w:sz w:val="18"/>
                <w:szCs w:val="18"/>
                <w:b w:val="1"/>
                <w:bCs w:val="1"/>
                <w:color w:val="auto"/>
                <w:w w:val="83"/>
              </w:rPr>
              <w:t>x</w:t>
            </w:r>
          </w:p>
        </w:tc>
      </w:tr>
      <w:tr>
        <w:trPr>
          <w:trHeight w:val="28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50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rPr>
              <w:t>☐</w:t>
            </w:r>
          </w:p>
        </w:tc>
        <w:tc>
          <w:tcPr>
            <w:tcW w:w="3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2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2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48"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April 30, 2026, there were 60,135,562 shares of the registrant’s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51435</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77470</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080"/>
          </w:cols>
          <w:pgMar w:left="320" w:top="223" w:right="499" w:bottom="15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333375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Vanda Pharmaceuticals Inc.</w:t>
      </w:r>
    </w:p>
    <w:p>
      <w:pPr>
        <w:spacing w:after="0" w:line="11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2026</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98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E32E1"/>
                <w:w w:val="98"/>
              </w:rPr>
              <w:t>PART I – FINANCIAL INFORMATION</w:t>
            </w:r>
          </w:p>
        </w:tc>
        <w:tc>
          <w:tcPr>
            <w:tcW w:w="7460" w:type="dxa"/>
            <w:vAlign w:val="bottom"/>
            <w:gridSpan w:val="13"/>
            <w:vMerge w:val="restart"/>
          </w:tcPr>
          <w:p>
            <w:pPr>
              <w:spacing w:after="0"/>
              <w:rPr>
                <w:sz w:val="17"/>
                <w:szCs w:val="17"/>
                <w:color w:val="auto"/>
              </w:rPr>
            </w:pPr>
          </w:p>
        </w:tc>
        <w:tc>
          <w:tcPr>
            <w:tcW w:w="78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0E32E1"/>
              </w:rPr>
              <w:t>Page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80" w:type="dxa"/>
            <w:vAlign w:val="bottom"/>
            <w:gridSpan w:val="10"/>
            <w:vMerge w:val="continue"/>
          </w:tcPr>
          <w:p>
            <w:pPr>
              <w:spacing w:after="0" w:line="20" w:lineRule="exact"/>
              <w:rPr>
                <w:sz w:val="1"/>
                <w:szCs w:val="1"/>
                <w:color w:val="auto"/>
              </w:rPr>
            </w:pPr>
          </w:p>
        </w:tc>
        <w:tc>
          <w:tcPr>
            <w:tcW w:w="7460" w:type="dxa"/>
            <w:vAlign w:val="bottom"/>
            <w:gridSpan w:val="13"/>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0E32E1"/>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4"/>
                <w:szCs w:val="14"/>
                <w:color w:val="auto"/>
              </w:rPr>
            </w:pPr>
          </w:p>
        </w:tc>
        <w:tc>
          <w:tcPr>
            <w:tcW w:w="2980" w:type="dxa"/>
            <w:vAlign w:val="bottom"/>
            <w:tcBorders>
              <w:bottom w:val="single" w:sz="8" w:color="0E32E1"/>
            </w:tcBorders>
            <w:gridSpan w:val="10"/>
            <w:vMerge w:val="continue"/>
          </w:tcPr>
          <w:p>
            <w:pPr>
              <w:spacing w:after="0"/>
              <w:rPr>
                <w:sz w:val="14"/>
                <w:szCs w:val="14"/>
                <w:color w:val="auto"/>
              </w:rPr>
            </w:pPr>
          </w:p>
        </w:tc>
        <w:tc>
          <w:tcPr>
            <w:tcW w:w="7460" w:type="dxa"/>
            <w:vAlign w:val="bottom"/>
            <w:gridSpan w:val="13"/>
            <w:vMerge w:val="continue"/>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0E32E1"/>
              </w:rPr>
              <w:t>ITEM 1</w:t>
            </w:r>
          </w:p>
        </w:tc>
        <w:tc>
          <w:tcPr>
            <w:tcW w:w="946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rPr>
              <w:t>Financial Statements (Unaudited)</w:t>
            </w:r>
          </w:p>
        </w:tc>
        <w:tc>
          <w:tcPr>
            <w:tcW w:w="7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E32E1"/>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360" w:type="dxa"/>
            <w:vAlign w:val="bottom"/>
            <w:tcBorders>
              <w:left w:val="single" w:sz="8" w:color="0E32E1"/>
            </w:tcBorders>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560" w:type="dxa"/>
            <w:vAlign w:val="bottom"/>
            <w:gridSpan w:val="2"/>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80" w:type="dxa"/>
            <w:vAlign w:val="bottom"/>
            <w:gridSpan w:val="14"/>
          </w:tcPr>
          <w:p>
            <w:pPr>
              <w:spacing w:after="0"/>
              <w:rPr>
                <w:sz w:val="20"/>
                <w:szCs w:val="20"/>
                <w:color w:val="auto"/>
              </w:rPr>
            </w:pPr>
            <w:r>
              <w:rPr>
                <w:rFonts w:ascii="Times New Roman" w:cs="Times New Roman" w:eastAsia="Times New Roman" w:hAnsi="Times New Roman"/>
                <w:sz w:val="18"/>
                <w:szCs w:val="18"/>
                <w:color w:val="0E32E1"/>
                <w:w w:val="99"/>
              </w:rPr>
              <w:t>Condensed Consolidated Balance Sheets as of March 31, 2026 and December 31, 2025</w:t>
            </w:r>
          </w:p>
        </w:tc>
        <w:tc>
          <w:tcPr>
            <w:tcW w:w="3180" w:type="dxa"/>
            <w:vAlign w:val="bottom"/>
            <w:gridSpan w:val="5"/>
          </w:tcPr>
          <w:p>
            <w:pPr>
              <w:spacing w:after="0"/>
              <w:rPr>
                <w:sz w:val="22"/>
                <w:szCs w:val="22"/>
                <w:color w:val="auto"/>
              </w:rPr>
            </w:pPr>
          </w:p>
        </w:tc>
        <w:tc>
          <w:tcPr>
            <w:tcW w:w="7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E32E1"/>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360" w:type="dxa"/>
            <w:vAlign w:val="bottom"/>
            <w:tcBorders>
              <w:left w:val="single" w:sz="8" w:color="0E32E1"/>
            </w:tcBorders>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560" w:type="dxa"/>
            <w:vAlign w:val="bottom"/>
            <w:gridSpan w:val="2"/>
            <w:shd w:val="clear" w:color="auto" w:fill="0E32E1"/>
          </w:tcPr>
          <w:p>
            <w:pPr>
              <w:spacing w:after="0" w:line="20" w:lineRule="exact"/>
              <w:rPr>
                <w:sz w:val="1"/>
                <w:szCs w:val="1"/>
                <w:color w:val="auto"/>
              </w:rPr>
            </w:pPr>
          </w:p>
        </w:tc>
        <w:tc>
          <w:tcPr>
            <w:tcW w:w="1680" w:type="dxa"/>
            <w:vAlign w:val="bottom"/>
            <w:gridSpan w:val="2"/>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1460" w:type="dxa"/>
            <w:vAlign w:val="bottom"/>
            <w:shd w:val="clear" w:color="auto" w:fill="0E32E1"/>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6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rPr>
              <w:t>Condensed Consolidated Statements of Operations for the three months ended March 31, 2026 and 2025</w:t>
            </w:r>
          </w:p>
        </w:tc>
        <w:tc>
          <w:tcPr>
            <w:tcW w:w="7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E32E1"/>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360" w:type="dxa"/>
            <w:vAlign w:val="bottom"/>
            <w:tcBorders>
              <w:left w:val="single" w:sz="8" w:color="0E32E1"/>
            </w:tcBorders>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58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1460" w:type="dxa"/>
            <w:vAlign w:val="bottom"/>
            <w:shd w:val="clear" w:color="auto" w:fill="0E32E1"/>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1060" w:type="dxa"/>
            <w:vAlign w:val="bottom"/>
            <w:shd w:val="clear" w:color="auto" w:fill="0E32E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60" w:type="dxa"/>
            <w:vAlign w:val="bottom"/>
            <w:gridSpan w:val="17"/>
          </w:tcPr>
          <w:p>
            <w:pPr>
              <w:spacing w:after="0"/>
              <w:rPr>
                <w:sz w:val="20"/>
                <w:szCs w:val="20"/>
                <w:color w:val="auto"/>
              </w:rPr>
            </w:pPr>
            <w:r>
              <w:rPr>
                <w:rFonts w:ascii="Times New Roman" w:cs="Times New Roman" w:eastAsia="Times New Roman" w:hAnsi="Times New Roman"/>
                <w:sz w:val="18"/>
                <w:szCs w:val="18"/>
                <w:color w:val="0E32E1"/>
                <w:w w:val="99"/>
              </w:rPr>
              <w:t>Condensed Consolidated Statements of Comprehensive Loss for the three months ended March 31, 2026 and 2025</w:t>
            </w:r>
          </w:p>
        </w:tc>
        <w:tc>
          <w:tcPr>
            <w:tcW w:w="1200" w:type="dxa"/>
            <w:vAlign w:val="bottom"/>
            <w:gridSpan w:val="2"/>
          </w:tcPr>
          <w:p>
            <w:pPr>
              <w:spacing w:after="0"/>
              <w:rPr>
                <w:sz w:val="22"/>
                <w:szCs w:val="22"/>
                <w:color w:val="auto"/>
              </w:rPr>
            </w:pPr>
          </w:p>
        </w:tc>
        <w:tc>
          <w:tcPr>
            <w:tcW w:w="7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E32E1"/>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360" w:type="dxa"/>
            <w:vAlign w:val="bottom"/>
            <w:tcBorders>
              <w:left w:val="single" w:sz="8" w:color="0E32E1"/>
            </w:tcBorders>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58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1460" w:type="dxa"/>
            <w:vAlign w:val="bottom"/>
            <w:shd w:val="clear" w:color="auto" w:fill="0E32E1"/>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1060" w:type="dxa"/>
            <w:vAlign w:val="bottom"/>
            <w:shd w:val="clear" w:color="auto" w:fill="0E32E1"/>
          </w:tcPr>
          <w:p>
            <w:pPr>
              <w:spacing w:after="0" w:line="20" w:lineRule="exact"/>
              <w:rPr>
                <w:sz w:val="1"/>
                <w:szCs w:val="1"/>
                <w:color w:val="auto"/>
              </w:rPr>
            </w:pPr>
          </w:p>
        </w:tc>
        <w:tc>
          <w:tcPr>
            <w:tcW w:w="740" w:type="dxa"/>
            <w:vAlign w:val="bottom"/>
            <w:tcBorders>
              <w:left w:val="single" w:sz="8" w:color="0E32E1"/>
            </w:tcBorders>
            <w:shd w:val="clear" w:color="auto" w:fill="0E32E1"/>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6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rPr>
              <w:t xml:space="preserve">Condensed Consolidated Statements of Changes in Stockholders’ Equity for the </w:t>
            </w:r>
            <w:r>
              <w:rPr>
                <w:rFonts w:ascii="Times New Roman" w:cs="Times New Roman" w:eastAsia="Times New Roman" w:hAnsi="Times New Roman"/>
                <w:sz w:val="18"/>
                <w:szCs w:val="18"/>
                <w:color w:val="3051F2"/>
              </w:rPr>
              <w:t>three</w:t>
            </w:r>
            <w:r>
              <w:rPr>
                <w:rFonts w:ascii="Times New Roman" w:cs="Times New Roman" w:eastAsia="Times New Roman" w:hAnsi="Times New Roman"/>
                <w:sz w:val="18"/>
                <w:szCs w:val="18"/>
                <w:color w:val="0E32E1"/>
              </w:rPr>
              <w:t xml:space="preserve"> months ended March 31, 2026 and 2025</w:t>
            </w:r>
          </w:p>
        </w:tc>
        <w:tc>
          <w:tcPr>
            <w:tcW w:w="7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E32E1"/>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360" w:type="dxa"/>
            <w:vAlign w:val="bottom"/>
            <w:tcBorders>
              <w:left w:val="single" w:sz="8" w:color="0E32E1"/>
            </w:tcBorders>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58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1460" w:type="dxa"/>
            <w:vAlign w:val="bottom"/>
            <w:shd w:val="clear" w:color="auto" w:fill="0E32E1"/>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1060" w:type="dxa"/>
            <w:vAlign w:val="bottom"/>
            <w:shd w:val="clear" w:color="auto" w:fill="0E32E1"/>
          </w:tcPr>
          <w:p>
            <w:pPr>
              <w:spacing w:after="0" w:line="20" w:lineRule="exact"/>
              <w:rPr>
                <w:sz w:val="1"/>
                <w:szCs w:val="1"/>
                <w:color w:val="auto"/>
              </w:rPr>
            </w:pPr>
          </w:p>
        </w:tc>
        <w:tc>
          <w:tcPr>
            <w:tcW w:w="740" w:type="dxa"/>
            <w:vAlign w:val="bottom"/>
            <w:tcBorders>
              <w:left w:val="single" w:sz="8" w:color="0E32E1"/>
            </w:tcBorders>
            <w:shd w:val="clear" w:color="auto" w:fill="0E32E1"/>
          </w:tcPr>
          <w:p>
            <w:pPr>
              <w:spacing w:after="0" w:line="20" w:lineRule="exact"/>
              <w:rPr>
                <w:sz w:val="1"/>
                <w:szCs w:val="1"/>
                <w:color w:val="auto"/>
              </w:rPr>
            </w:pPr>
          </w:p>
        </w:tc>
        <w:tc>
          <w:tcPr>
            <w:tcW w:w="860" w:type="dxa"/>
            <w:vAlign w:val="bottom"/>
            <w:shd w:val="clear" w:color="auto" w:fill="0E32E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6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rPr>
              <w:t>Condensed Consolidated Statements of Cash Flows for the three months ended March 31, 2026 and 2025</w:t>
            </w:r>
          </w:p>
        </w:tc>
        <w:tc>
          <w:tcPr>
            <w:tcW w:w="7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E32E1"/>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360" w:type="dxa"/>
            <w:vAlign w:val="bottom"/>
            <w:tcBorders>
              <w:left w:val="single" w:sz="8" w:color="0E32E1"/>
            </w:tcBorders>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58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1460" w:type="dxa"/>
            <w:vAlign w:val="bottom"/>
            <w:shd w:val="clear" w:color="auto" w:fill="0E32E1"/>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1060" w:type="dxa"/>
            <w:vAlign w:val="bottom"/>
            <w:shd w:val="clear" w:color="auto" w:fill="0E32E1"/>
          </w:tcPr>
          <w:p>
            <w:pPr>
              <w:spacing w:after="0" w:line="20" w:lineRule="exact"/>
              <w:rPr>
                <w:sz w:val="1"/>
                <w:szCs w:val="1"/>
                <w:color w:val="auto"/>
              </w:rPr>
            </w:pPr>
          </w:p>
        </w:tc>
        <w:tc>
          <w:tcPr>
            <w:tcW w:w="740" w:type="dxa"/>
            <w:vAlign w:val="bottom"/>
            <w:tcBorders>
              <w:left w:val="single" w:sz="8" w:color="0E32E1"/>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0" w:type="dxa"/>
            <w:vAlign w:val="bottom"/>
            <w:tcBorders>
              <w:bottom w:val="single" w:sz="8" w:color="0E32E1"/>
            </w:tcBorders>
            <w:gridSpan w:val="9"/>
          </w:tcPr>
          <w:p>
            <w:pPr>
              <w:spacing w:after="0"/>
              <w:rPr>
                <w:sz w:val="20"/>
                <w:szCs w:val="20"/>
                <w:color w:val="auto"/>
              </w:rPr>
            </w:pPr>
            <w:r>
              <w:rPr>
                <w:rFonts w:ascii="Times New Roman" w:cs="Times New Roman" w:eastAsia="Times New Roman" w:hAnsi="Times New Roman"/>
                <w:sz w:val="18"/>
                <w:szCs w:val="18"/>
                <w:color w:val="0E32E1"/>
                <w:w w:val="99"/>
              </w:rPr>
              <w:t>Notes to Condensed Consolidated Financial Statements</w:t>
            </w:r>
          </w:p>
        </w:tc>
        <w:tc>
          <w:tcPr>
            <w:tcW w:w="3520" w:type="dxa"/>
            <w:vAlign w:val="bottom"/>
            <w:gridSpan w:val="7"/>
          </w:tcPr>
          <w:p>
            <w:pPr>
              <w:spacing w:after="0"/>
              <w:rPr>
                <w:sz w:val="22"/>
                <w:szCs w:val="22"/>
                <w:color w:val="auto"/>
              </w:rPr>
            </w:pPr>
          </w:p>
        </w:tc>
        <w:tc>
          <w:tcPr>
            <w:tcW w:w="1940" w:type="dxa"/>
            <w:vAlign w:val="bottom"/>
            <w:gridSpan w:val="3"/>
          </w:tcPr>
          <w:p>
            <w:pPr>
              <w:spacing w:after="0"/>
              <w:rPr>
                <w:sz w:val="22"/>
                <w:szCs w:val="22"/>
                <w:color w:val="auto"/>
              </w:rPr>
            </w:pPr>
          </w:p>
        </w:tc>
        <w:tc>
          <w:tcPr>
            <w:tcW w:w="580" w:type="dxa"/>
            <w:vAlign w:val="bottom"/>
            <w:gridSpan w:val="3"/>
          </w:tcPr>
          <w:p>
            <w:pPr>
              <w:spacing w:after="0"/>
              <w:rPr>
                <w:sz w:val="22"/>
                <w:szCs w:val="22"/>
                <w:color w:val="auto"/>
              </w:rPr>
            </w:pPr>
          </w:p>
        </w:tc>
        <w:tc>
          <w:tcPr>
            <w:tcW w:w="180" w:type="dxa"/>
            <w:vAlign w:val="bottom"/>
            <w:tcBorders>
              <w:bottom w:val="single" w:sz="8" w:color="0E32E1"/>
            </w:tcBorders>
            <w:gridSpan w:val="2"/>
          </w:tcPr>
          <w:p>
            <w:pPr>
              <w:jc w:val="right"/>
              <w:spacing w:after="0"/>
              <w:rPr>
                <w:sz w:val="20"/>
                <w:szCs w:val="20"/>
                <w:color w:val="auto"/>
              </w:rPr>
            </w:pPr>
            <w:r>
              <w:rPr>
                <w:rFonts w:ascii="Times New Roman" w:cs="Times New Roman" w:eastAsia="Times New Roman" w:hAnsi="Times New Roman"/>
                <w:sz w:val="18"/>
                <w:szCs w:val="18"/>
                <w:color w:val="0E32E1"/>
                <w:w w:val="88"/>
              </w:rPr>
              <w:t>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0E32E1"/>
              </w:rPr>
              <w:t>ITEM 2</w:t>
            </w:r>
          </w:p>
        </w:tc>
        <w:tc>
          <w:tcPr>
            <w:tcW w:w="946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rPr>
              <w:t>Management’s Discussion and Analysis of Financial Condition and Results of Operations</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E32E1"/>
              </w:rPr>
              <w:t>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360" w:type="dxa"/>
            <w:vAlign w:val="bottom"/>
            <w:tcBorders>
              <w:left w:val="single" w:sz="8" w:color="0E32E1"/>
            </w:tcBorders>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560" w:type="dxa"/>
            <w:vAlign w:val="bottom"/>
            <w:gridSpan w:val="2"/>
            <w:shd w:val="clear" w:color="auto" w:fill="0E32E1"/>
          </w:tcPr>
          <w:p>
            <w:pPr>
              <w:spacing w:after="0" w:line="20" w:lineRule="exact"/>
              <w:rPr>
                <w:sz w:val="1"/>
                <w:szCs w:val="1"/>
                <w:color w:val="auto"/>
              </w:rPr>
            </w:pPr>
          </w:p>
        </w:tc>
        <w:tc>
          <w:tcPr>
            <w:tcW w:w="1980" w:type="dxa"/>
            <w:vAlign w:val="bottom"/>
            <w:gridSpan w:val="3"/>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2120" w:type="dxa"/>
            <w:vAlign w:val="bottom"/>
            <w:gridSpan w:val="4"/>
            <w:shd w:val="clear" w:color="auto" w:fill="0E32E1"/>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E32E1"/>
              </w:rPr>
              <w:t>ITEM 3</w:t>
            </w:r>
          </w:p>
        </w:tc>
        <w:tc>
          <w:tcPr>
            <w:tcW w:w="260" w:type="dxa"/>
            <w:vAlign w:val="bottom"/>
            <w:gridSpan w:val="2"/>
          </w:tcPr>
          <w:p>
            <w:pPr>
              <w:spacing w:after="0"/>
              <w:rPr>
                <w:sz w:val="22"/>
                <w:szCs w:val="22"/>
                <w:color w:val="auto"/>
              </w:rPr>
            </w:pPr>
          </w:p>
        </w:tc>
        <w:tc>
          <w:tcPr>
            <w:tcW w:w="946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rPr>
              <w:t>Quantitative and Qualitative Disclosures about Market Risk</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E32E1"/>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20" w:type="dxa"/>
            <w:vAlign w:val="bottom"/>
            <w:tcBorders>
              <w:top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rPr>
              <w:t>ITEM 4</w:t>
            </w:r>
          </w:p>
        </w:tc>
        <w:tc>
          <w:tcPr>
            <w:tcW w:w="260" w:type="dxa"/>
            <w:vAlign w:val="bottom"/>
            <w:gridSpan w:val="2"/>
          </w:tcPr>
          <w:p>
            <w:pPr>
              <w:spacing w:after="0"/>
              <w:rPr>
                <w:sz w:val="22"/>
                <w:szCs w:val="22"/>
                <w:color w:val="auto"/>
              </w:rPr>
            </w:pPr>
          </w:p>
        </w:tc>
        <w:tc>
          <w:tcPr>
            <w:tcW w:w="4300" w:type="dxa"/>
            <w:vAlign w:val="bottom"/>
            <w:tcBorders>
              <w:top w:val="single" w:sz="8" w:color="0E32E1"/>
            </w:tcBorders>
            <w:gridSpan w:val="10"/>
          </w:tcPr>
          <w:p>
            <w:pPr>
              <w:spacing w:after="0"/>
              <w:rPr>
                <w:sz w:val="20"/>
                <w:szCs w:val="20"/>
                <w:color w:val="auto"/>
              </w:rPr>
            </w:pPr>
            <w:r>
              <w:rPr>
                <w:rFonts w:ascii="Times New Roman" w:cs="Times New Roman" w:eastAsia="Times New Roman" w:hAnsi="Times New Roman"/>
                <w:sz w:val="18"/>
                <w:szCs w:val="18"/>
                <w:color w:val="0E32E1"/>
              </w:rPr>
              <w:t>Controls and Procedures</w:t>
            </w:r>
          </w:p>
        </w:tc>
        <w:tc>
          <w:tcPr>
            <w:tcW w:w="5160" w:type="dxa"/>
            <w:vAlign w:val="bottom"/>
            <w:gridSpan w:val="9"/>
          </w:tcPr>
          <w:p>
            <w:pPr>
              <w:spacing w:after="0"/>
              <w:rPr>
                <w:sz w:val="22"/>
                <w:szCs w:val="22"/>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E32E1"/>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360" w:type="dxa"/>
            <w:vAlign w:val="bottom"/>
            <w:tcBorders>
              <w:left w:val="single" w:sz="8" w:color="0E32E1"/>
            </w:tcBorders>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2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0440" w:type="dxa"/>
            <w:vAlign w:val="bottom"/>
            <w:gridSpan w:val="23"/>
          </w:tcPr>
          <w:p>
            <w:pPr>
              <w:spacing w:after="0"/>
              <w:rPr>
                <w:sz w:val="20"/>
                <w:szCs w:val="20"/>
                <w:color w:val="auto"/>
              </w:rPr>
            </w:pPr>
            <w:r>
              <w:rPr>
                <w:rFonts w:ascii="Times New Roman" w:cs="Times New Roman" w:eastAsia="Times New Roman" w:hAnsi="Times New Roman"/>
                <w:sz w:val="18"/>
                <w:szCs w:val="18"/>
                <w:color w:val="0E32E1"/>
              </w:rPr>
              <w:t>PART II – OTHER INFORMATION</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Borders>
              <w:top w:val="single" w:sz="8" w:color="0E32E1"/>
            </w:tcBorders>
            <w:gridSpan w:val="4"/>
          </w:tcPr>
          <w:p>
            <w:pPr>
              <w:spacing w:after="0"/>
              <w:rPr>
                <w:sz w:val="20"/>
                <w:szCs w:val="20"/>
                <w:color w:val="auto"/>
              </w:rPr>
            </w:pPr>
            <w:r>
              <w:rPr>
                <w:rFonts w:ascii="Times New Roman" w:cs="Times New Roman" w:eastAsia="Times New Roman" w:hAnsi="Times New Roman"/>
                <w:sz w:val="18"/>
                <w:szCs w:val="18"/>
                <w:color w:val="0E32E1"/>
              </w:rPr>
              <w:t>ITEM 1</w:t>
            </w:r>
          </w:p>
        </w:tc>
        <w:tc>
          <w:tcPr>
            <w:tcW w:w="1680" w:type="dxa"/>
            <w:vAlign w:val="bottom"/>
            <w:tcBorders>
              <w:top w:val="single" w:sz="8" w:color="0E32E1"/>
            </w:tcBorders>
            <w:gridSpan w:val="4"/>
          </w:tcPr>
          <w:p>
            <w:pPr>
              <w:spacing w:after="0"/>
              <w:rPr>
                <w:sz w:val="20"/>
                <w:szCs w:val="20"/>
                <w:color w:val="auto"/>
              </w:rPr>
            </w:pPr>
            <w:r>
              <w:rPr>
                <w:rFonts w:ascii="Times New Roman" w:cs="Times New Roman" w:eastAsia="Times New Roman" w:hAnsi="Times New Roman"/>
                <w:sz w:val="18"/>
                <w:szCs w:val="18"/>
                <w:color w:val="0E32E1"/>
              </w:rPr>
              <w:t>Legal Proceedings</w:t>
            </w:r>
          </w:p>
        </w:tc>
        <w:tc>
          <w:tcPr>
            <w:tcW w:w="7780" w:type="dxa"/>
            <w:vAlign w:val="bottom"/>
            <w:gridSpan w:val="15"/>
          </w:tcPr>
          <w:p>
            <w:pPr>
              <w:spacing w:after="0"/>
              <w:rPr>
                <w:sz w:val="22"/>
                <w:szCs w:val="22"/>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E32E1"/>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1000" w:type="dxa"/>
            <w:vAlign w:val="bottom"/>
            <w:tcBorders>
              <w:left w:val="single" w:sz="8" w:color="0E32E1"/>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20" w:type="dxa"/>
            <w:vAlign w:val="bottom"/>
            <w:gridSpan w:val="8"/>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99"/>
              </w:rPr>
              <w:t>ITEM 1A</w:t>
            </w:r>
          </w:p>
        </w:tc>
        <w:tc>
          <w:tcPr>
            <w:tcW w:w="260" w:type="dxa"/>
            <w:vAlign w:val="bottom"/>
            <w:gridSpan w:val="2"/>
          </w:tcPr>
          <w:p>
            <w:pPr>
              <w:spacing w:after="0"/>
              <w:rPr>
                <w:sz w:val="22"/>
                <w:szCs w:val="22"/>
                <w:color w:val="auto"/>
              </w:rPr>
            </w:pPr>
          </w:p>
        </w:tc>
        <w:tc>
          <w:tcPr>
            <w:tcW w:w="946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rPr>
              <w:t>Risk Factors</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E32E1"/>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2"/>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20" w:type="dxa"/>
            <w:vAlign w:val="bottom"/>
            <w:gridSpan w:val="8"/>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E32E1"/>
              </w:rPr>
              <w:t>ITEM 2</w:t>
            </w:r>
          </w:p>
        </w:tc>
        <w:tc>
          <w:tcPr>
            <w:tcW w:w="260" w:type="dxa"/>
            <w:vAlign w:val="bottom"/>
            <w:gridSpan w:val="2"/>
          </w:tcPr>
          <w:p>
            <w:pPr>
              <w:spacing w:after="0"/>
              <w:rPr>
                <w:sz w:val="22"/>
                <w:szCs w:val="22"/>
                <w:color w:val="auto"/>
              </w:rPr>
            </w:pPr>
          </w:p>
        </w:tc>
        <w:tc>
          <w:tcPr>
            <w:tcW w:w="946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rPr>
              <w:t>Unregistered Sales of Equity Securities and Use of Proceeds</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E32E1"/>
              </w:rPr>
              <w:t>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E32E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720" w:type="dxa"/>
            <w:vAlign w:val="bottom"/>
            <w:gridSpan w:val="2"/>
            <w:shd w:val="clear" w:color="auto" w:fill="0E32E1"/>
          </w:tcPr>
          <w:p>
            <w:pPr>
              <w:spacing w:after="0" w:line="20" w:lineRule="exact"/>
              <w:rPr>
                <w:sz w:val="1"/>
                <w:szCs w:val="1"/>
                <w:color w:val="auto"/>
              </w:rPr>
            </w:pPr>
          </w:p>
        </w:tc>
        <w:tc>
          <w:tcPr>
            <w:tcW w:w="1000" w:type="dxa"/>
            <w:vAlign w:val="bottom"/>
            <w:tcBorders>
              <w:left w:val="single" w:sz="8" w:color="0E32E1"/>
            </w:tcBorders>
            <w:gridSpan w:val="4"/>
            <w:shd w:val="clear" w:color="auto" w:fill="0E32E1"/>
          </w:tcPr>
          <w:p>
            <w:pPr>
              <w:spacing w:after="0" w:line="20" w:lineRule="exact"/>
              <w:rPr>
                <w:sz w:val="1"/>
                <w:szCs w:val="1"/>
                <w:color w:val="auto"/>
              </w:rPr>
            </w:pPr>
          </w:p>
        </w:tc>
        <w:tc>
          <w:tcPr>
            <w:tcW w:w="2020" w:type="dxa"/>
            <w:vAlign w:val="bottom"/>
            <w:gridSpan w:val="4"/>
            <w:shd w:val="clear" w:color="auto" w:fill="0E32E1"/>
          </w:tcPr>
          <w:p>
            <w:pPr>
              <w:spacing w:after="0" w:line="20" w:lineRule="exact"/>
              <w:rPr>
                <w:sz w:val="1"/>
                <w:szCs w:val="1"/>
                <w:color w:val="auto"/>
              </w:rPr>
            </w:pPr>
          </w:p>
        </w:tc>
        <w:tc>
          <w:tcPr>
            <w:tcW w:w="5120" w:type="dxa"/>
            <w:vAlign w:val="bottom"/>
            <w:gridSpan w:val="8"/>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0E32E1"/>
              </w:rPr>
              <w:t>ITEM 3</w:t>
            </w:r>
          </w:p>
        </w:tc>
        <w:tc>
          <w:tcPr>
            <w:tcW w:w="946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rPr>
              <w:t>Defaults Upon Senior Securities</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E32E1"/>
              </w:rPr>
              <w:t>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E32E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720" w:type="dxa"/>
            <w:vAlign w:val="bottom"/>
            <w:gridSpan w:val="2"/>
            <w:shd w:val="clear" w:color="auto" w:fill="0E32E1"/>
          </w:tcPr>
          <w:p>
            <w:pPr>
              <w:spacing w:after="0" w:line="20" w:lineRule="exact"/>
              <w:rPr>
                <w:sz w:val="1"/>
                <w:szCs w:val="1"/>
                <w:color w:val="auto"/>
              </w:rPr>
            </w:pPr>
          </w:p>
        </w:tc>
        <w:tc>
          <w:tcPr>
            <w:tcW w:w="1000" w:type="dxa"/>
            <w:vAlign w:val="bottom"/>
            <w:tcBorders>
              <w:left w:val="single" w:sz="8" w:color="0E32E1"/>
            </w:tcBorders>
            <w:gridSpan w:val="4"/>
            <w:shd w:val="clear" w:color="auto" w:fill="0E32E1"/>
          </w:tcPr>
          <w:p>
            <w:pPr>
              <w:spacing w:after="0" w:line="20" w:lineRule="exact"/>
              <w:rPr>
                <w:sz w:val="1"/>
                <w:szCs w:val="1"/>
                <w:color w:val="auto"/>
              </w:rPr>
            </w:pPr>
          </w:p>
        </w:tc>
        <w:tc>
          <w:tcPr>
            <w:tcW w:w="7140" w:type="dxa"/>
            <w:vAlign w:val="bottom"/>
            <w:gridSpan w:val="1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0E32E1"/>
              </w:rPr>
              <w:t>ITEM 4</w:t>
            </w:r>
          </w:p>
        </w:tc>
        <w:tc>
          <w:tcPr>
            <w:tcW w:w="946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rPr>
              <w:t>Mine Safety Disclosures</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E32E1"/>
              </w:rPr>
              <w:t>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E32E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720" w:type="dxa"/>
            <w:vAlign w:val="bottom"/>
            <w:gridSpan w:val="2"/>
            <w:shd w:val="clear" w:color="auto" w:fill="0E32E1"/>
          </w:tcPr>
          <w:p>
            <w:pPr>
              <w:spacing w:after="0" w:line="20" w:lineRule="exact"/>
              <w:rPr>
                <w:sz w:val="1"/>
                <w:szCs w:val="1"/>
                <w:color w:val="auto"/>
              </w:rPr>
            </w:pPr>
          </w:p>
        </w:tc>
        <w:tc>
          <w:tcPr>
            <w:tcW w:w="440" w:type="dxa"/>
            <w:vAlign w:val="bottom"/>
            <w:tcBorders>
              <w:left w:val="single" w:sz="8" w:color="0E32E1"/>
            </w:tcBorders>
            <w:gridSpan w:val="2"/>
            <w:shd w:val="clear" w:color="auto" w:fill="0E32E1"/>
          </w:tcPr>
          <w:p>
            <w:pPr>
              <w:spacing w:after="0" w:line="20" w:lineRule="exact"/>
              <w:rPr>
                <w:sz w:val="1"/>
                <w:szCs w:val="1"/>
                <w:color w:val="auto"/>
              </w:rPr>
            </w:pPr>
          </w:p>
        </w:tc>
        <w:tc>
          <w:tcPr>
            <w:tcW w:w="7700" w:type="dxa"/>
            <w:vAlign w:val="bottom"/>
            <w:gridSpan w:val="1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0E32E1"/>
              </w:rPr>
              <w:t>ITEM 5</w:t>
            </w:r>
          </w:p>
        </w:tc>
        <w:tc>
          <w:tcPr>
            <w:tcW w:w="946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rPr>
              <w:t>Other Information</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E32E1"/>
              </w:rPr>
              <w:t>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E32E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720" w:type="dxa"/>
            <w:vAlign w:val="bottom"/>
            <w:gridSpan w:val="2"/>
            <w:shd w:val="clear" w:color="auto" w:fill="0E32E1"/>
          </w:tcPr>
          <w:p>
            <w:pPr>
              <w:spacing w:after="0" w:line="20" w:lineRule="exact"/>
              <w:rPr>
                <w:sz w:val="1"/>
                <w:szCs w:val="1"/>
                <w:color w:val="auto"/>
              </w:rPr>
            </w:pPr>
          </w:p>
        </w:tc>
        <w:tc>
          <w:tcPr>
            <w:tcW w:w="8140" w:type="dxa"/>
            <w:vAlign w:val="bottom"/>
            <w:gridSpan w:val="16"/>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0E32E1"/>
              </w:rPr>
              <w:t>ITEM 6</w:t>
            </w:r>
          </w:p>
        </w:tc>
        <w:tc>
          <w:tcPr>
            <w:tcW w:w="946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rPr>
              <w:t>Exhibits</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E32E1"/>
              </w:rPr>
              <w:t>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E32E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0E32E1"/>
              </w:rPr>
              <w:t>Signatures</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E32E1"/>
              </w:rPr>
              <w:t>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580" w:type="dxa"/>
            <w:vAlign w:val="bottom"/>
            <w:tcBorders>
              <w:top w:val="single" w:sz="8" w:color="0E32E1"/>
            </w:tcBorders>
          </w:tcPr>
          <w:p>
            <w:pPr>
              <w:spacing w:after="0"/>
              <w:rPr>
                <w:sz w:val="24"/>
                <w:szCs w:val="24"/>
                <w:color w:val="auto"/>
              </w:rPr>
            </w:pPr>
          </w:p>
        </w:tc>
        <w:tc>
          <w:tcPr>
            <w:tcW w:w="140" w:type="dxa"/>
            <w:vAlign w:val="bottom"/>
            <w:tcBorders>
              <w:top w:val="single" w:sz="8" w:color="0E32E1"/>
            </w:tcBorders>
          </w:tcPr>
          <w:p>
            <w:pPr>
              <w:spacing w:after="0"/>
              <w:rPr>
                <w:sz w:val="24"/>
                <w:szCs w:val="24"/>
                <w:color w:val="auto"/>
              </w:rPr>
            </w:pPr>
          </w:p>
        </w:tc>
        <w:tc>
          <w:tcPr>
            <w:tcW w:w="40" w:type="dxa"/>
            <w:vAlign w:val="bottom"/>
            <w:tcBorders>
              <w:top w:val="single" w:sz="8" w:color="0E32E1"/>
            </w:tcBorders>
          </w:tcPr>
          <w:p>
            <w:pPr>
              <w:spacing w:after="0"/>
              <w:rPr>
                <w:sz w:val="24"/>
                <w:szCs w:val="24"/>
                <w:color w:val="auto"/>
              </w:rPr>
            </w:pPr>
          </w:p>
        </w:tc>
        <w:tc>
          <w:tcPr>
            <w:tcW w:w="220" w:type="dxa"/>
            <w:vAlign w:val="bottom"/>
          </w:tcPr>
          <w:p>
            <w:pPr>
              <w:spacing w:after="0"/>
              <w:rPr>
                <w:sz w:val="24"/>
                <w:szCs w:val="24"/>
                <w:color w:val="auto"/>
              </w:rPr>
            </w:pPr>
          </w:p>
        </w:tc>
        <w:tc>
          <w:tcPr>
            <w:tcW w:w="5800" w:type="dxa"/>
            <w:vAlign w:val="bottom"/>
            <w:gridSpan w:val="12"/>
          </w:tcPr>
          <w:p>
            <w:pPr>
              <w:ind w:left="458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0E32E1"/>
            </w:tcBorders>
          </w:tcPr>
          <w:p>
            <w:pPr>
              <w:spacing w:after="0"/>
              <w:rPr>
                <w:sz w:val="24"/>
                <w:szCs w:val="24"/>
                <w:color w:val="auto"/>
              </w:rPr>
            </w:pPr>
          </w:p>
        </w:tc>
        <w:tc>
          <w:tcPr>
            <w:tcW w:w="80" w:type="dxa"/>
            <w:vAlign w:val="bottom"/>
            <w:tcBorders>
              <w:top w:val="single" w:sz="8" w:color="0E32E1"/>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(Quarterly Report) contains “forward-looking statements” within the meaning of Section 27A of the Securities Act of 1933, as amended (Securities Act), and Section 21E of the Securities Exchange Act of 1934, as amended (Exchange Act). Words such as, but not limited to, “believe,” “expect,” “anticipate,” “estimate,” “intend,” “plan,” “project,” “target,” “goal,” “likely,” “will,” “would,” and “could,” or the negative of these terms and similar expressions or words, identify forward-looking statements. Forward-looking statements are based upon current expectations and assumptions that involve risks, changes in circumstances and uncertainties. If the risks, changes in circumstances or uncertainties materialize or the assumptions prove incorrect, the results of Vanda Pharmaceuticals Inc. (we, our, the Company or Vanda) may differ materially from those expressed or implied by such forward-looking statements. All statements other than statements of historical fact are statements that could be deemed forward-looking statements. The forward-looking statements in this Quarterly Report may include, but are not limited to, statements about:</w:t>
      </w:r>
    </w:p>
    <w:p>
      <w:pPr>
        <w:spacing w:after="0" w:line="80" w:lineRule="exact"/>
        <w:rPr>
          <w:sz w:val="20"/>
          <w:szCs w:val="20"/>
          <w:color w:val="auto"/>
        </w:rPr>
      </w:pPr>
    </w:p>
    <w:p>
      <w:pPr>
        <w:ind w:left="660" w:right="60" w:hanging="328"/>
        <w:spacing w:after="0" w:line="23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generate United States (U.S.) sales of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(iloperidone) oral tablets for the treatment of schizophrenia and the acute treatment of manic or mixed episodes associated with bipolar I disorder;</w:t>
      </w:r>
    </w:p>
    <w:p>
      <w:pPr>
        <w:spacing w:after="0" w:line="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BYSANTI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(milsaperidone) for bipolar I disorder and schizophrenia;</w:t>
      </w:r>
    </w:p>
    <w:p>
      <w:pPr>
        <w:spacing w:after="0" w:line="5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approval from the U.S. Food and Drug Administration (FDA) for BYSANTI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major depressive disorder (MDD);</w:t>
      </w:r>
    </w:p>
    <w:p>
      <w:pPr>
        <w:spacing w:after="0" w:line="59" w:lineRule="exact"/>
        <w:rPr>
          <w:rFonts w:ascii="Times New Roman" w:cs="Times New Roman" w:eastAsia="Times New Roman" w:hAnsi="Times New Roman"/>
          <w:sz w:val="18"/>
          <w:szCs w:val="18"/>
          <w:color w:val="auto"/>
        </w:rPr>
      </w:pPr>
    </w:p>
    <w:p>
      <w:pPr>
        <w:jc w:val="both"/>
        <w:ind w:left="660" w:hanging="328"/>
        <w:spacing w:after="0" w:line="21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generate sales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(tasimelteon) capsules for the treatment of Non-24-Hour Sleep-Wake Disorder (Non-24) in the U.S., in light of existing and potential generic competition, and Europe and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capsules and oral suspension (HETLIOZ LQ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for the treatment of nighttime sleep disturbances in Smith-Magenis syndrome (SMS) in the U.S.;</w:t>
      </w:r>
    </w:p>
    <w:p>
      <w:pPr>
        <w:spacing w:after="0" w:line="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approval from the FDA for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beyond the currently approved indications;</w:t>
      </w:r>
    </w:p>
    <w:p>
      <w:pPr>
        <w:spacing w:after="0" w:line="5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market awareness of Non-24 and SMS and market acceptance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59" w:lineRule="exact"/>
        <w:rPr>
          <w:rFonts w:ascii="Times New Roman" w:cs="Times New Roman" w:eastAsia="Times New Roman" w:hAnsi="Times New Roman"/>
          <w:sz w:val="18"/>
          <w:szCs w:val="18"/>
          <w:color w:val="auto"/>
        </w:rPr>
      </w:pPr>
    </w:p>
    <w:p>
      <w:pPr>
        <w:ind w:left="660" w:right="300" w:hanging="328"/>
        <w:spacing w:after="0" w:line="23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(ponesimod) tablets for the treatment of adults with relapsing forms of multiple sclerosis, including clinically isolated syndrome, relapsing-remitting disease and active secondary progressive disease in the U.S.;</w:t>
      </w:r>
    </w:p>
    <w:p>
      <w:pPr>
        <w:spacing w:after="0" w:line="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approval from the FDA for 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beyond the currently approved indications;</w:t>
      </w:r>
    </w:p>
    <w:p>
      <w:pPr>
        <w:spacing w:after="0" w:line="5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(tradipitant) capsules for the prevention of vomiting induced by motion;</w:t>
      </w:r>
    </w:p>
    <w:p>
      <w:pPr>
        <w:spacing w:after="0" w:line="59" w:lineRule="exact"/>
        <w:rPr>
          <w:rFonts w:ascii="Times New Roman" w:cs="Times New Roman" w:eastAsia="Times New Roman" w:hAnsi="Times New Roman"/>
          <w:sz w:val="18"/>
          <w:szCs w:val="18"/>
          <w:color w:val="auto"/>
        </w:rPr>
      </w:pPr>
    </w:p>
    <w:p>
      <w:pPr>
        <w:ind w:left="660" w:hanging="328"/>
        <w:spacing w:after="0" w:line="23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approval from the FDA for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the prevention of vomiting induced by GLP-1 receptor agonists and the treatment of gastroparesis;</w:t>
      </w:r>
    </w:p>
    <w:p>
      <w:pPr>
        <w:spacing w:after="0" w:line="9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approval from the FDA for imsidolimab for the treatment of generalized pustular psoriasis;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success in commercializing our products in new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overcome the continued reimbursement and patient access challenges we face as a result of third-party payor coverage;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third-party manufacturers to manufacture our commercial products in sufficient quantities and quality;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prepare, file, prosecute, defend and enforce any patent claims and other intellectual property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rights to develop and commercialize our products under our license agreements;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products, and the labeling for any approved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and success of preclinical studies and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U.S., Europe and other jurisdictions;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utilize some or all of our prior net operating losses and orphan drug and research and development credits;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and growth of the current and potential markets for our products and our ability to serve those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trends with respect to our revenues, costs, liabilities and cash, cash equivalents and marketable securities;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or obtain rights to new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cost, time frame, outcome, insurance coverage and effects of any litigation or other dispute;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the capital necessary to fund our research and development or commercial activities;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losses incurred from product liability claims made against us;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our existing cash, cash equivalents and marketable securities.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All forward-looking statements in this report are expressly qualified in their entirety by the cautionary statements contained throughout this report. We caution you not to rely too heavily on such forward-looking statements. Each forward-looking statement speaks only as of the date of this Quarterly Report, and we undertake no obligation, and specifically decline any obligation, to update or revise publicly any forward-looking statements, whether as a result of new information, future events or otherwise, except as required by law.</w:t>
      </w:r>
    </w:p>
    <w:p>
      <w:pPr>
        <w:spacing w:after="0" w:line="17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We encourage you to read Part I,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and our unaudited condensed consolidated financial statements contained in this Quarterly Report. In addition to the risks described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annual report on Form 10-K (Annual Report) for the fiscal year ended December 31, 2025 and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any Quarterly Report filed subsequent to our Annual Report, other unknown or unpredictable factors also could affect our results. Therefore, the information in this report should be read together with other reports and documents that we file with the Securities and Exchange Commission from time to time, including on Form 10-Q and Form 8-K, which may supplement, modify, supersede or update those risk factors. As a result of these factors, we cannot assure you that the forward-looking statements in this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50"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 (Unaudited)</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VANDA PHARMACEUTICALS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for share and per share amounts)</w:t>
            </w:r>
          </w:p>
        </w:tc>
        <w:tc>
          <w:tcPr>
            <w:tcW w:w="280" w:type="dxa"/>
            <w:vAlign w:val="bottom"/>
          </w:tcPr>
          <w:p>
            <w:pPr>
              <w:spacing w:after="0"/>
              <w:rPr>
                <w:sz w:val="13"/>
                <w:szCs w:val="13"/>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38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5"/>
        </w:trPr>
        <w:tc>
          <w:tcPr>
            <w:tcW w:w="80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84,851</w:t>
            </w:r>
          </w:p>
        </w:tc>
        <w:tc>
          <w:tcPr>
            <w:tcW w:w="0" w:type="dxa"/>
            <w:vAlign w:val="bottom"/>
          </w:tcPr>
          <w:p>
            <w:pPr>
              <w:spacing w:after="0"/>
              <w:rPr>
                <w:sz w:val="1"/>
                <w:szCs w:val="1"/>
                <w:color w:val="auto"/>
              </w:rPr>
            </w:pPr>
          </w:p>
        </w:tc>
      </w:tr>
      <w:tr>
        <w:trPr>
          <w:trHeight w:val="229"/>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178,996</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54,578</w:t>
            </w:r>
          </w:p>
        </w:tc>
        <w:tc>
          <w:tcPr>
            <w:tcW w:w="0" w:type="dxa"/>
            <w:vAlign w:val="bottom"/>
          </w:tcPr>
          <w:p>
            <w:pPr>
              <w:spacing w:after="0"/>
              <w:rPr>
                <w:sz w:val="1"/>
                <w:szCs w:val="1"/>
                <w:color w:val="auto"/>
              </w:rPr>
            </w:pPr>
          </w:p>
        </w:tc>
      </w:tr>
      <w:tr>
        <w:trPr>
          <w:trHeight w:val="229"/>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26,985</w:t>
            </w:r>
          </w:p>
        </w:tc>
        <w:tc>
          <w:tcPr>
            <w:tcW w:w="0" w:type="dxa"/>
            <w:vAlign w:val="bottom"/>
          </w:tcPr>
          <w:p>
            <w:pPr>
              <w:spacing w:after="0"/>
              <w:rPr>
                <w:sz w:val="1"/>
                <w:szCs w:val="1"/>
                <w:color w:val="auto"/>
              </w:rPr>
            </w:pPr>
          </w:p>
        </w:tc>
      </w:tr>
      <w:tr>
        <w:trPr>
          <w:trHeight w:val="223"/>
        </w:trPr>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347,262</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0" w:type="dxa"/>
            <w:vAlign w:val="bottom"/>
          </w:tcPr>
          <w:p>
            <w:pPr>
              <w:spacing w:after="0"/>
              <w:rPr>
                <w:sz w:val="1"/>
                <w:szCs w:val="1"/>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0" w:type="dxa"/>
            <w:vAlign w:val="bottom"/>
          </w:tcPr>
          <w:p>
            <w:pPr>
              <w:spacing w:after="0"/>
              <w:rPr>
                <w:sz w:val="1"/>
                <w:szCs w:val="1"/>
                <w:color w:val="auto"/>
              </w:rPr>
            </w:pP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117,089</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Non-current inventory and other</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11,083</w:t>
            </w:r>
          </w:p>
        </w:tc>
        <w:tc>
          <w:tcPr>
            <w:tcW w:w="0" w:type="dxa"/>
            <w:vAlign w:val="bottom"/>
          </w:tcPr>
          <w:p>
            <w:pPr>
              <w:spacing w:after="0"/>
              <w:rPr>
                <w:sz w:val="1"/>
                <w:szCs w:val="1"/>
                <w:color w:val="auto"/>
              </w:rPr>
            </w:pPr>
          </w:p>
        </w:tc>
      </w:tr>
      <w:tr>
        <w:trPr>
          <w:trHeight w:val="223"/>
        </w:trPr>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433,525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488,948</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68,297</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Product revenue allowances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74,962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76,865</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145,162</w:t>
            </w:r>
          </w:p>
        </w:tc>
        <w:tc>
          <w:tcPr>
            <w:tcW w:w="0" w:type="dxa"/>
            <w:vAlign w:val="bottom"/>
          </w:tcPr>
          <w:p>
            <w:pPr>
              <w:spacing w:after="0"/>
              <w:rPr>
                <w:sz w:val="1"/>
                <w:szCs w:val="1"/>
                <w:color w:val="auto"/>
              </w:rPr>
            </w:pP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non-current liabilities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9,533</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152,760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161,762</w:t>
            </w:r>
          </w:p>
        </w:tc>
        <w:tc>
          <w:tcPr>
            <w:tcW w:w="0" w:type="dxa"/>
            <w:vAlign w:val="bottom"/>
          </w:tcPr>
          <w:p>
            <w:pPr>
              <w:spacing w:after="0"/>
              <w:rPr>
                <w:sz w:val="1"/>
                <w:szCs w:val="1"/>
                <w:color w:val="auto"/>
              </w:rPr>
            </w:pPr>
          </w:p>
        </w:tc>
      </w:tr>
      <w:tr>
        <w:trPr>
          <w:trHeight w:val="21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Commitments and contingencies (Notes 8 and 14)</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4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20,000,000 shares authorized, and no shares issued or outstanding</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at March 31, 2026 and December 31, 2025</w:t>
            </w:r>
          </w:p>
        </w:tc>
        <w:tc>
          <w:tcPr>
            <w:tcW w:w="28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040" w:type="dxa"/>
            <w:vAlign w:val="bottom"/>
            <w:shd w:val="clear" w:color="auto" w:fill="CCEEFF"/>
          </w:tcPr>
          <w:p>
            <w:pPr>
              <w:ind w:left="680"/>
              <w:spacing w:after="0" w:line="176" w:lineRule="exact"/>
              <w:rPr>
                <w:sz w:val="20"/>
                <w:szCs w:val="20"/>
                <w:color w:val="auto"/>
              </w:rPr>
            </w:pPr>
            <w:r>
              <w:rPr>
                <w:rFonts w:ascii="Times New Roman" w:cs="Times New Roman" w:eastAsia="Times New Roman" w:hAnsi="Times New Roman"/>
                <w:sz w:val="18"/>
                <w:szCs w:val="18"/>
                <w:color w:val="auto"/>
              </w:rPr>
              <w:t>Common stock, $0.001 par value; 150,000,000 shares authorized; 60,135,062 and 59,101,630 shares</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issued and outstanding at March 31, 2026 and December 31, 2025, respectively</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723,826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721,264</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(443,333)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(394,766)</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280,765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327,186</w:t>
            </w:r>
          </w:p>
        </w:tc>
        <w:tc>
          <w:tcPr>
            <w:tcW w:w="0" w:type="dxa"/>
            <w:vAlign w:val="bottom"/>
          </w:tcPr>
          <w:p>
            <w:pPr>
              <w:spacing w:after="0"/>
              <w:rPr>
                <w:sz w:val="1"/>
                <w:szCs w:val="1"/>
                <w:color w:val="auto"/>
              </w:rPr>
            </w:pPr>
          </w:p>
        </w:tc>
      </w:tr>
      <w:tr>
        <w:trPr>
          <w:trHeight w:val="223"/>
        </w:trPr>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433,525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488,948</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VANDA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for share and per share amounts)</w:t>
            </w:r>
          </w:p>
        </w:tc>
        <w:tc>
          <w:tcPr>
            <w:tcW w:w="280" w:type="dxa"/>
            <w:vAlign w:val="bottom"/>
          </w:tcPr>
          <w:p>
            <w:pPr>
              <w:spacing w:after="0"/>
              <w:rPr>
                <w:sz w:val="11"/>
                <w:szCs w:val="11"/>
                <w:color w:val="auto"/>
              </w:rPr>
            </w:pPr>
          </w:p>
        </w:tc>
        <w:tc>
          <w:tcPr>
            <w:tcW w:w="136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1"/>
                <w:szCs w:val="11"/>
                <w:color w:val="auto"/>
              </w:rPr>
            </w:pPr>
          </w:p>
        </w:tc>
        <w:tc>
          <w:tcPr>
            <w:tcW w:w="1240" w:type="dxa"/>
            <w:vAlign w:val="bottom"/>
          </w:tcPr>
          <w:p>
            <w:pPr>
              <w:jc w:val="right"/>
              <w:ind w:right="352"/>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80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product sales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51,718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50,041</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50,041</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goods sold excluding amortization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0" w:type="dxa"/>
            <w:vAlign w:val="bottom"/>
          </w:tcPr>
          <w:p>
            <w:pPr>
              <w:spacing w:after="0"/>
              <w:rPr>
                <w:sz w:val="1"/>
                <w:szCs w:val="1"/>
                <w:color w:val="auto"/>
              </w:rPr>
            </w:pPr>
          </w:p>
        </w:tc>
      </w:tr>
      <w:tr>
        <w:trPr>
          <w:trHeight w:val="229"/>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35,712</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50,084</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101,942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91,069</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(41,028)</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(37,368)</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(48,567)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(29,494)</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59,459,982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58,527,775</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8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59,459,982</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58,527,775</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VANDA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1"/>
                <w:szCs w:val="11"/>
                <w:color w:val="auto"/>
              </w:rPr>
            </w:pPr>
          </w:p>
        </w:tc>
        <w:tc>
          <w:tcPr>
            <w:tcW w:w="136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1"/>
                <w:szCs w:val="11"/>
                <w:color w:val="auto"/>
              </w:rPr>
            </w:pPr>
          </w:p>
        </w:tc>
        <w:tc>
          <w:tcPr>
            <w:tcW w:w="1240" w:type="dxa"/>
            <w:vAlign w:val="bottom"/>
          </w:tcPr>
          <w:p>
            <w:pPr>
              <w:jc w:val="right"/>
              <w:ind w:right="355"/>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80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(29,494)</w:t>
            </w:r>
          </w:p>
        </w:tc>
        <w:tc>
          <w:tcPr>
            <w:tcW w:w="0" w:type="dxa"/>
            <w:vAlign w:val="bottom"/>
          </w:tcPr>
          <w:p>
            <w:pPr>
              <w:spacing w:after="0"/>
              <w:rPr>
                <w:sz w:val="1"/>
                <w:szCs w:val="1"/>
                <w:color w:val="auto"/>
              </w:rPr>
            </w:pPr>
          </w:p>
        </w:tc>
      </w:tr>
      <w:tr>
        <w:trPr>
          <w:trHeight w:val="20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foreign currency translation gain (loss)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net unrealized gain (loss) on marketable securities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provision on other comprehensive income (loss)</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(29,185)</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VANDA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2440" w:type="dxa"/>
            <w:vAlign w:val="bottom"/>
            <w:gridSpan w:val="5"/>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3460" w:type="dxa"/>
            <w:vAlign w:val="bottom"/>
          </w:tcPr>
          <w:p>
            <w:pPr>
              <w:spacing w:after="0"/>
              <w:rPr>
                <w:sz w:val="9"/>
                <w:szCs w:val="9"/>
                <w:color w:val="auto"/>
              </w:rPr>
            </w:pPr>
          </w:p>
        </w:tc>
        <w:tc>
          <w:tcPr>
            <w:tcW w:w="244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gridSpan w:val="2"/>
            <w:vMerge w:val="restart"/>
          </w:tcPr>
          <w:p>
            <w:pPr>
              <w:jc w:val="center"/>
              <w:ind w:right="3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34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9"/>
                <w:szCs w:val="9"/>
                <w:color w:val="auto"/>
              </w:rPr>
            </w:pPr>
          </w:p>
        </w:tc>
        <w:tc>
          <w:tcPr>
            <w:tcW w:w="116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for share amounts)</w:t>
            </w: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460" w:type="dxa"/>
            <w:vAlign w:val="bottom"/>
            <w:vMerge w:val="continue"/>
          </w:tcPr>
          <w:p>
            <w:pPr>
              <w:spacing w:after="0"/>
              <w:rPr>
                <w:sz w:val="16"/>
                <w:szCs w:val="16"/>
                <w:color w:val="auto"/>
              </w:rPr>
            </w:pP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8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2025</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59,101,630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721,264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(394,766)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327,186</w:t>
            </w:r>
          </w:p>
        </w:tc>
        <w:tc>
          <w:tcPr>
            <w:tcW w:w="0" w:type="dxa"/>
            <w:vAlign w:val="bottom"/>
          </w:tcPr>
          <w:p>
            <w:pPr>
              <w:spacing w:after="0"/>
              <w:rPr>
                <w:sz w:val="1"/>
                <w:szCs w:val="1"/>
                <w:color w:val="auto"/>
              </w:rPr>
            </w:pPr>
          </w:p>
        </w:tc>
      </w:tr>
      <w:tr>
        <w:trPr>
          <w:trHeight w:val="176"/>
        </w:trPr>
        <w:tc>
          <w:tcPr>
            <w:tcW w:w="3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from the exercise of</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6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stock options and settlement of equity</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1,033,432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(48,567)</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2026</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60,135,062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723,826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(443,333)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280,765</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5"/>
        </w:trPr>
        <w:tc>
          <w:tcPr>
            <w:tcW w:w="3460" w:type="dxa"/>
            <w:vAlign w:val="bottom"/>
          </w:tcPr>
          <w:p>
            <w:pPr>
              <w:spacing w:after="0"/>
              <w:rPr>
                <w:sz w:val="24"/>
                <w:szCs w:val="24"/>
                <w:color w:val="auto"/>
              </w:rPr>
            </w:pPr>
          </w:p>
        </w:tc>
        <w:tc>
          <w:tcPr>
            <w:tcW w:w="2440" w:type="dxa"/>
            <w:vAlign w:val="bottom"/>
            <w:gridSpan w:val="5"/>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460" w:type="dxa"/>
            <w:vAlign w:val="bottom"/>
          </w:tcPr>
          <w:p>
            <w:pPr>
              <w:spacing w:after="0"/>
              <w:rPr>
                <w:sz w:val="9"/>
                <w:szCs w:val="9"/>
                <w:color w:val="auto"/>
              </w:rPr>
            </w:pPr>
          </w:p>
        </w:tc>
        <w:tc>
          <w:tcPr>
            <w:tcW w:w="244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gridSpan w:val="2"/>
            <w:vMerge w:val="restart"/>
          </w:tcPr>
          <w:p>
            <w:pPr>
              <w:jc w:val="center"/>
              <w:ind w:right="3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34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9"/>
                <w:szCs w:val="9"/>
                <w:color w:val="auto"/>
              </w:rPr>
            </w:pPr>
          </w:p>
        </w:tc>
        <w:tc>
          <w:tcPr>
            <w:tcW w:w="116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for share amounts)</w:t>
            </w: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460" w:type="dxa"/>
            <w:vAlign w:val="bottom"/>
            <w:vMerge w:val="continue"/>
          </w:tcPr>
          <w:p>
            <w:pPr>
              <w:spacing w:after="0"/>
              <w:rPr>
                <w:sz w:val="16"/>
                <w:szCs w:val="16"/>
                <w:color w:val="auto"/>
              </w:rPr>
            </w:pP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8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58,310,644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712,706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(174,292)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538,546</w:t>
            </w:r>
          </w:p>
        </w:tc>
        <w:tc>
          <w:tcPr>
            <w:tcW w:w="0" w:type="dxa"/>
            <w:vAlign w:val="bottom"/>
          </w:tcPr>
          <w:p>
            <w:pPr>
              <w:spacing w:after="0"/>
              <w:rPr>
                <w:sz w:val="1"/>
                <w:szCs w:val="1"/>
                <w:color w:val="auto"/>
              </w:rPr>
            </w:pPr>
          </w:p>
        </w:tc>
      </w:tr>
      <w:tr>
        <w:trPr>
          <w:trHeight w:val="175"/>
        </w:trPr>
        <w:tc>
          <w:tcPr>
            <w:tcW w:w="3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from the exercise of</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6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stock options and settlement of equity</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 net of shares withheld for taxes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(29,494)</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2025</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58,933,982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714,761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(203,786)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511,417</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VANDA PHARMACEUTICALS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4"/>
          </w:tcPr>
          <w:p>
            <w:pPr>
              <w:jc w:val="right"/>
              <w:ind w:right="8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1"/>
                <w:szCs w:val="11"/>
                <w:color w:val="auto"/>
              </w:rPr>
            </w:pPr>
          </w:p>
        </w:tc>
        <w:tc>
          <w:tcPr>
            <w:tcW w:w="136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1"/>
                <w:szCs w:val="11"/>
                <w:color w:val="auto"/>
              </w:rPr>
            </w:pPr>
          </w:p>
        </w:tc>
        <w:tc>
          <w:tcPr>
            <w:tcW w:w="1240" w:type="dxa"/>
            <w:vAlign w:val="bottom"/>
          </w:tcPr>
          <w:p>
            <w:pPr>
              <w:jc w:val="right"/>
              <w:ind w:right="351"/>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80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(29,494)</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0" w:type="dxa"/>
            <w:vAlign w:val="bottom"/>
          </w:tcPr>
          <w:p>
            <w:pPr>
              <w:spacing w:after="0"/>
              <w:rPr>
                <w:sz w:val="1"/>
                <w:szCs w:val="1"/>
                <w:color w:val="auto"/>
              </w:rPr>
            </w:pP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premiums and accretion of discounts on marketable securities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0" w:type="dxa"/>
            <w:vAlign w:val="bottom"/>
          </w:tcPr>
          <w:p>
            <w:pPr>
              <w:spacing w:after="0"/>
              <w:rPr>
                <w:sz w:val="1"/>
                <w:szCs w:val="1"/>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 amortization</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w:t>
            </w:r>
          </w:p>
        </w:tc>
        <w:tc>
          <w:tcPr>
            <w:tcW w:w="0" w:type="dxa"/>
            <w:vAlign w:val="bottom"/>
          </w:tcPr>
          <w:p>
            <w:pPr>
              <w:spacing w:after="0"/>
              <w:rPr>
                <w:sz w:val="1"/>
                <w:szCs w:val="1"/>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non-cash adjustments, net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0" w:type="dxa"/>
            <w:vAlign w:val="bottom"/>
          </w:tcPr>
          <w:p>
            <w:pPr>
              <w:spacing w:after="0"/>
              <w:rPr>
                <w:sz w:val="1"/>
                <w:szCs w:val="1"/>
                <w:color w:val="auto"/>
              </w:rPr>
            </w:pPr>
          </w:p>
        </w:tc>
      </w:tr>
      <w:tr>
        <w:trPr>
          <w:trHeight w:val="229"/>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Product revenue allowances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(33,147)</w:t>
            </w:r>
          </w:p>
        </w:tc>
        <w:tc>
          <w:tcPr>
            <w:tcW w:w="0" w:type="dxa"/>
            <w:vAlign w:val="bottom"/>
          </w:tcPr>
          <w:p>
            <w:pPr>
              <w:spacing w:after="0"/>
              <w:rPr>
                <w:sz w:val="1"/>
                <w:szCs w:val="1"/>
                <w:color w:val="auto"/>
              </w:rPr>
            </w:pPr>
          </w:p>
        </w:tc>
      </w:tr>
      <w:tr>
        <w:trPr>
          <w:trHeight w:val="21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intangible asset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(43,329)</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87,667</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43,902</w:t>
            </w:r>
          </w:p>
        </w:tc>
        <w:tc>
          <w:tcPr>
            <w:tcW w:w="0" w:type="dxa"/>
            <w:vAlign w:val="bottom"/>
          </w:tcPr>
          <w:p>
            <w:pPr>
              <w:spacing w:after="0"/>
              <w:rPr>
                <w:sz w:val="1"/>
                <w:szCs w:val="1"/>
                <w:color w:val="auto"/>
              </w:rPr>
            </w:pPr>
          </w:p>
        </w:tc>
      </w:tr>
      <w:tr>
        <w:trPr>
          <w:trHeight w:val="21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obligations paid in connection with settlement of restricted stock units</w:t>
            </w:r>
          </w:p>
        </w:tc>
        <w:tc>
          <w:tcPr>
            <w:tcW w:w="2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23"/>
        </w:trPr>
        <w:tc>
          <w:tcPr>
            <w:tcW w:w="80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9,480</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85,320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102,785</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54,503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112,265</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VANDA PHARMACEUTICALS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Organization and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Organization</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Vanda Pharmaceuticals Inc. (the Company or Vanda) is a global biopharmaceutical company focused on the development and commercialization of innovative therapies to address high unmet medical needs and improve the lives of patients. The Company commenced its operations in 2003.</w:t>
      </w:r>
    </w:p>
    <w:p>
      <w:pPr>
        <w:spacing w:after="0" w:line="158" w:lineRule="exact"/>
        <w:rPr>
          <w:sz w:val="20"/>
          <w:szCs w:val="20"/>
          <w:color w:val="auto"/>
        </w:rPr>
      </w:pPr>
    </w:p>
    <w:p>
      <w:pPr>
        <w:spacing w:after="0" w:line="214" w:lineRule="auto"/>
        <w:rPr>
          <w:sz w:val="20"/>
          <w:szCs w:val="20"/>
          <w:color w:val="auto"/>
        </w:rPr>
      </w:pPr>
      <w:r>
        <w:rPr>
          <w:rFonts w:ascii="Times New Roman" w:cs="Times New Roman" w:eastAsia="Times New Roman" w:hAnsi="Times New Roman"/>
          <w:sz w:val="18"/>
          <w:szCs w:val="18"/>
          <w:color w:val="auto"/>
        </w:rPr>
        <w:t>The Company’s commercial portfolio is currently comprised of five products: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BYSANTI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the acute treatment of manic or mixed episodes associated with bipolar I disorder and the treatment of schizophrenia,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the treatment of Non-24-Hour Sleep-Wake Disorder (Non-24) and for the treatment of nighttime sleep disturbances in Smith-Magenis syndrome (SMS), 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the treatment of relapsing forms of multiple sclerosis (RMS) including clinically isolated syndrome, relapsing-remitting disease and active secondary progressive disease and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the prevention of vomiting induced by motion (collectively, the Company’s commercial products). In addition, the Company has a number of drugs and/or additional indications for current products in development, including:</w:t>
      </w:r>
    </w:p>
    <w:p>
      <w:pPr>
        <w:spacing w:after="0" w:line="7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(iloperidone) long acting injectable (LAI) formulation for the treatment of schizophrenia and hypertension;</w:t>
      </w:r>
    </w:p>
    <w:p>
      <w:pPr>
        <w:spacing w:after="0" w:line="5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BYSANTI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(milsaperidone) for major depressive disorder (MDD);</w:t>
      </w:r>
    </w:p>
    <w:p>
      <w:pPr>
        <w:spacing w:after="0" w:line="46" w:lineRule="exact"/>
        <w:rPr>
          <w:rFonts w:ascii="Times New Roman" w:cs="Times New Roman" w:eastAsia="Times New Roman" w:hAnsi="Times New Roman"/>
          <w:sz w:val="18"/>
          <w:szCs w:val="18"/>
          <w:color w:val="auto"/>
        </w:rPr>
      </w:pPr>
    </w:p>
    <w:p>
      <w:pPr>
        <w:ind w:left="660" w:right="260" w:hanging="328"/>
        <w:spacing w:after="0" w:line="22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(tasimelteon) for the treatment of jet lag disorder, insomnia, pediatric insomnia, delayed sleep phase disorder (DSPD) and pediatric Non-24;</w:t>
      </w:r>
    </w:p>
    <w:p>
      <w:pPr>
        <w:spacing w:after="0" w:line="8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(ponesimod) for the treatment of ulcerative colitis and psoriasis;</w:t>
      </w:r>
    </w:p>
    <w:p>
      <w:pPr>
        <w:spacing w:after="0" w:line="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Imsidolimab, an IL-36R antagonist, for the treatment of generalized pustular psoriasis (GPP);</w:t>
      </w:r>
    </w:p>
    <w:p>
      <w:pPr>
        <w:spacing w:after="0" w:line="1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(tradipitant) for the prevention of vomiting induced by GLP-1 receptor agonists and the treatment of gastroparesis;</w:t>
      </w:r>
    </w:p>
    <w:p>
      <w:pPr>
        <w:spacing w:after="0" w:line="62" w:lineRule="exact"/>
        <w:rPr>
          <w:rFonts w:ascii="Times New Roman" w:cs="Times New Roman" w:eastAsia="Times New Roman" w:hAnsi="Times New Roman"/>
          <w:sz w:val="18"/>
          <w:szCs w:val="18"/>
          <w:color w:val="auto"/>
        </w:rPr>
      </w:pPr>
    </w:p>
    <w:p>
      <w:pPr>
        <w:ind w:left="660" w:right="7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VQW-765, a small molecule alpha-7 nicotinic acetylcholine receptor partial agonist, for the treatment of social/performance anxiety and psychiatric disorders;</w:t>
      </w:r>
    </w:p>
    <w:p>
      <w:pPr>
        <w:spacing w:after="0" w:line="53"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of Cystic Fibrosis Transmembrane Conductance Regulator (CFTR) activators and inhibitors, including VSJ-110 for the treatment of dry eye and ocular inflammation and VPO-227 for the treatment of secretory diarrhea disorders, including cholera;</w:t>
      </w:r>
    </w:p>
    <w:p>
      <w:pPr>
        <w:spacing w:after="0" w:line="5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VTR-297, a small molecule histone deacetylase (HDAC) inhibitor for the treatment of hematologic malignancies and onychomycosis and with potential use as a treatment for several oncology indications; and</w:t>
      </w:r>
    </w:p>
    <w:p>
      <w:pPr>
        <w:spacing w:after="0" w:line="53"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Antisense oligonucleotide (ASO) molecules, including VGA-157A for Parkinson’s disease, VCA-894A for the treatment of Charcot-Marie-Tooth Disease, Type 2S (CMT2S), caused by cryptic slice site variants within the IGHMBP2 gene and VGT-1849A for the treatment of polycythemia vera (PV), a form of a rare hematologic malignancy.</w:t>
      </w:r>
    </w:p>
    <w:p>
      <w:pPr>
        <w:spacing w:after="0" w:line="176"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Based on the Company’s current operating plans, which include continued investment in support of its commercial products, including the ongoing commercial launch of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the prevention of vomiting induced by motion, which became commercially available in the U.S. on May 1, 2026, and the upcoming commercial launch of BYSANTI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the acute treatment of manic or mixed episodes associated with bipolar I disorder and for the treatment of schizophrenia, continued clinical development of its commercial and other products, pursuit of regulatory approval of imsidolimab, pursuit of further regulatory approvals for its currently approved products and payments due upon achievement of milestones under its license agreements, the Company believes that its cash, cash equivalents and marketable securities and cash received from product sales will be sufficient for at least the next 12 months as of the date the financial statements were issued. The Company’s activities will necessitate significant working capital through 2026 and beyond, and future cash requirements and the adequacy of its available funds will depend on many factors, primarily including the Company’s ability to generate revenue, the scope and costs of its commercial, manufacturing and process development activities, including the commercial launches of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and BYSANTI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a regulatory approval of imsidolimab, the magnitude of its discovery, preclinical and clinical development programs and potential costs to acquire or license the rights to additional products. The Company may need or desire to obtain additional capital to finance its operations through debt, equity or alternative financing arrangements. The Company may also seek capital through collaborations or partnerships with other companies. If the Company is unable to obtain additional financing, it may be required to reduce the scope of its future activities.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Vanda Pharmaceuticals Inc. and its wholly-owned subsidiaries and have been prepared in accordance with United States generally accepted accounting principles (GAAP) for interim financial information and the instructions to Form 10-Q and Article 10 of Regulation S-X. Accordingly, they do not include all the information and footnotes required by GAAP for complete financial statements and should be read in conjunction with the Company’s consolidated financial statements and accompanying notes included in the Company’s annual report on Form 10-K (Annual Report) for the fiscal year ended December 31, 2025. The financial information as of March 31, 2026 and for the three months ended March 31, 2026 and 2025 is unaudited, but in the opinion of management, all adjustments considered necessary for a fair statement of the results for these interim periods have been included. All intercompany accounts and transactions have been eliminated in consolidation. The condensed consolidated balance sheet data as of December 31, 2025 was derived from audited financial statements but does not include all disclosures required by GAAP. The results of the Company’s operations for any interim period are not necessarily indicative of the results that may be expected for any other interim period or any future year or period.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significant accounting policies previously disclosed in the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that affect the reported amounts of assets and liabilities and the disclosure of contingent assets and liabilities at the date of the financial statements, as well as the reported amounts of revenue and expenses during the reported periods. Management continually re-evaluates its estimates, judgments and assumptions, and management’s evaluation could change. Actual results could differ from those estimates under different assumptions or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For purposes of the Condensed Consolidated Balance Sheets and Condensed Consolidated Statements of Cash Flows, cash equivalents represent highly-liquid investments with a maturity date of three months or less at the date of purchase. Cash and cash equivalents include investments in money market funds with commercial banks and financial institutions, and commercial paper of high-quality corporate issuers. Restricted cash relates primarily to amounts held as collateral for letters of credit for office space leases at the Company’s Washington, D.C. headquarters.</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to the total end of period cash, cash equivalents and restricted cash reported within the Condensed Consolidated Statements of Cash Flows for the three months ended March 31, 2026 and 2025:</w:t>
      </w:r>
    </w:p>
    <w:tbl>
      <w:tblPr>
        <w:tblLayout w:type="fixed"/>
        <w:tblInd w:w="0" w:type="dxa"/>
        <w:tblCellMar>
          <w:top w:w="0" w:type="dxa"/>
          <w:left w:w="0" w:type="dxa"/>
          <w:bottom w:w="0" w:type="dxa"/>
          <w:right w:w="0" w:type="dxa"/>
        </w:tblCellMar>
      </w:tblPr>
      <w:tr>
        <w:trPr>
          <w:trHeight w:val="136"/>
        </w:trPr>
        <w:tc>
          <w:tcPr>
            <w:tcW w:w="40" w:type="dxa"/>
            <w:vAlign w:val="bottom"/>
          </w:tcPr>
          <w:p>
            <w:pPr>
              <w:spacing w:after="0"/>
              <w:rPr>
                <w:sz w:val="11"/>
                <w:szCs w:val="11"/>
                <w:color w:val="auto"/>
              </w:rPr>
            </w:pPr>
          </w:p>
        </w:tc>
        <w:tc>
          <w:tcPr>
            <w:tcW w:w="8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jc w:val="center"/>
              <w:ind w:right="400"/>
              <w:spacing w:after="0" w:line="136"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196"/>
              <w:spacing w:after="0" w:line="136"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802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54,034</w:t>
            </w: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in:</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Non-current inventory and other</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Net Product Sales</w:t>
            </w: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0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 by product for the three months ended March 31, 2026 and 2025 were as follows: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8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00" w:type="dxa"/>
            <w:vAlign w:val="bottom"/>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gridSpan w:val="2"/>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6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w:t>
            </w: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net product sales</w:t>
            </w: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50,041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ind w:left="554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80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8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440"/>
        <w:spacing w:after="0" w:line="231" w:lineRule="auto"/>
        <w:rPr>
          <w:sz w:val="20"/>
          <w:szCs w:val="20"/>
          <w:color w:val="auto"/>
        </w:rPr>
      </w:pPr>
      <w:r>
        <w:rPr>
          <w:rFonts w:ascii="Times New Roman" w:cs="Times New Roman" w:eastAsia="Times New Roman" w:hAnsi="Times New Roman"/>
          <w:sz w:val="18"/>
          <w:szCs w:val="18"/>
          <w:color w:val="auto"/>
        </w:rPr>
        <w:t>Since the entrance of generic competition in the first quarter of 2023,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dispenses have decreased. Additionally, inventory levels at the Company’s specialty pharmacy customers have been elevated relative to inventory levels prior to the entrance of generic competition.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have been and may continue to fluctuate from quarter to quarter depending on when specialty pharmacy customers purchase again.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may decline in future periods, potentially significantly, related to continued generic competition in the U.S.</w:t>
      </w:r>
    </w:p>
    <w:p>
      <w:pPr>
        <w:spacing w:after="0" w:line="36"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The Company recognized a decrease to net product sales of $1.5 million during the three months ended March 31, 2026 and an increase to net product sales of $3.8 million during the three months ended March 31, 2025 for changes in estimates on variable consideration for performance obligations satisfied in previous periods across the Company’s commercial products. The elevated levels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inventory have resulted in longer periods to resolve uncertainties related to variable consideration. Furthermore, an amount of variable consideration related to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is subject to dispute, of which approximately $3.0 million was recognized for the three months ended December 31, 2025. An amount of variable consideration related to 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is also subject to dispute, of which approximately $3.0 million was recognized for the three months ended December 31,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Major Customers</w:t>
      </w:r>
    </w:p>
    <w:p>
      <w:pPr>
        <w:spacing w:after="0" w:line="118"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available in the United States (U.S.) for distribution through a limited number of wholesalers and is available in retail pharmacies.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available in the U.S. for distribution through a limited number of specialty pharmacies and is not available in retail pharmacies. 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available in the U.S. for distribution primarily through a limited number of specialty distributors and specialty pharmacies. The Company invoices and records revenue when its customers, wholesalers, specialty pharmacies and specialty distributors, receive product from the third-party logistics warehouse, which is the point at which control is transferred to the customer. Revenues and accounts receivable are concentrated with these customers. Outside the U.S., the Company has a distribution agreement for the commercialization of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Israel and sells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Germany. There were four major customers that each accounted for more than 10% of total revenues and, as a group, represented 75% of total revenues for the three months ended March 31, 2026. There were four major customers that each accounted for more than 10% of accounts receivable and, as a group, represented 82% of total accounts receivable at March 31, 2026. Receivables are carried at transaction price paid by the wholesalers, specialty pharmacies and specialty distributors, net of estimated prompt pay discounts and allowance for credit losses. Payment terms differ by customer but are based on customary commercial terms and typically range between thirty and sixty days. Allowance for credit losses is measured using historical loss rates based on the aging of receivables and incorporating current conditions and forward-looking estimates.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(Topic 220-40), which addresses the disaggregation of income statement expenses. This standard is effective for annual reporting periods beginning after December 15, 2026, and interim reporting periods beginning after December 15, 2027. The Company is evaluating this standard to determine if adoption will have a material impact on the Company’s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Company’s available-for-sale marketable securities as of March 31, 2026, which all have contractual maturities of less than two years:</w:t>
      </w:r>
    </w:p>
    <w:tbl>
      <w:tblPr>
        <w:tblLayout w:type="fixed"/>
        <w:tblInd w:w="0" w:type="dxa"/>
        <w:tblCellMar>
          <w:top w:w="0" w:type="dxa"/>
          <w:left w:w="0" w:type="dxa"/>
          <w:bottom w:w="0" w:type="dxa"/>
          <w:right w:w="0" w:type="dxa"/>
        </w:tblCellMar>
      </w:tblPr>
      <w:tr>
        <w:trPr>
          <w:trHeight w:val="153"/>
        </w:trPr>
        <w:tc>
          <w:tcPr>
            <w:tcW w:w="4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40" w:type="dxa"/>
            <w:vAlign w:val="bottom"/>
          </w:tcPr>
          <w:p>
            <w:pPr>
              <w:jc w:val="center"/>
              <w:ind w:left="301"/>
              <w:spacing w:after="0" w:line="153" w:lineRule="exact"/>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left="301"/>
              <w:spacing w:after="0" w:line="153" w:lineRule="exact"/>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center"/>
              <w:ind w:right="239"/>
              <w:spacing w:after="0" w:line="153"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tcPr>
          <w:p>
            <w:pPr>
              <w:jc w:val="center"/>
              <w:ind w:left="30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left="30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jc w:val="center"/>
              <w:ind w:right="239"/>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96"/>
        </w:trPr>
        <w:tc>
          <w:tcPr>
            <w:tcW w:w="47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40" w:type="dxa"/>
            <w:vAlign w:val="bottom"/>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127,782</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96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96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127,957</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debt</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20,321</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20,319</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148,103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6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6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148,276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Company’s available-for-sale marketable securities as of December 31, 2025, which all have contractual maturities of less than two years:</w:t>
      </w:r>
    </w:p>
    <w:tbl>
      <w:tblPr>
        <w:tblLayout w:type="fixed"/>
        <w:tblInd w:w="0" w:type="dxa"/>
        <w:tblCellMar>
          <w:top w:w="0" w:type="dxa"/>
          <w:left w:w="0" w:type="dxa"/>
          <w:bottom w:w="0" w:type="dxa"/>
          <w:right w:w="0" w:type="dxa"/>
        </w:tblCellMar>
      </w:tblPr>
      <w:tr>
        <w:trPr>
          <w:trHeight w:val="155"/>
        </w:trPr>
        <w:tc>
          <w:tcPr>
            <w:tcW w:w="4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3"/>
                <w:szCs w:val="13"/>
                <w:color w:val="auto"/>
              </w:rPr>
            </w:pPr>
          </w:p>
        </w:tc>
        <w:tc>
          <w:tcPr>
            <w:tcW w:w="138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3"/>
                <w:szCs w:val="13"/>
                <w:color w:val="auto"/>
              </w:rPr>
            </w:pPr>
          </w:p>
        </w:tc>
        <w:tc>
          <w:tcPr>
            <w:tcW w:w="136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tcPr>
          <w:p>
            <w:pPr>
              <w:spacing w:after="0"/>
              <w:rPr>
                <w:sz w:val="13"/>
                <w:szCs w:val="13"/>
                <w:color w:val="auto"/>
              </w:rPr>
            </w:pPr>
          </w:p>
        </w:tc>
        <w:tc>
          <w:tcPr>
            <w:tcW w:w="128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95"/>
        </w:trPr>
        <w:tc>
          <w:tcPr>
            <w:tcW w:w="47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8"/>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153,212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178,996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ind w:right="476"/>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Authoritative guidance establishes a three-tier fair value hierarchy, which prioritizes the inputs used in measuring fair value. These tiers include:</w:t>
      </w:r>
    </w:p>
    <w:p>
      <w:pPr>
        <w:spacing w:after="0" w:line="117"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defined as observable inputs such as quoted prices in active markets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defined as inputs other than quoted prices in active markets that are either directly or indirectly observable</w:t>
      </w:r>
    </w:p>
    <w:p>
      <w:pPr>
        <w:spacing w:after="0" w:line="117" w:lineRule="exact"/>
        <w:rPr>
          <w:rFonts w:ascii="Times New Roman" w:cs="Times New Roman" w:eastAsia="Times New Roman" w:hAnsi="Times New Roman"/>
          <w:sz w:val="18"/>
          <w:szCs w:val="18"/>
          <w:color w:val="auto"/>
        </w:rPr>
      </w:pPr>
    </w:p>
    <w:p>
      <w:pPr>
        <w:ind w:left="980" w:right="90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defined as unobservable inputs in which little or no market data exists, therefore requiring an entity to develop its own assumptions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assets classified in Level 1 and Level 2 as of March 31, 2026 and December 31, 2025 consist of cash equivalents and available-for-sale marketable securities. The valuation of Level 1 instruments is determined using a market approach and is based upon unadjusted quoted prices for identical assets in active markets. The valuation of Level 2 instruments is also determined using a market approach based upon quoted prices for similar assets in active markets, or other inputs that are observable for substantially the full term of the financial instrument. Level 2 securities include certificates of deposit, commercial paper and corporate notes that use as their basis readily observable market parameters.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certain assets that are required to be measured at fair value on a recurring basis as of March 31, 2026,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8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Fair Value Measurement as of March 31, 2026 Using</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3"/>
                <w:szCs w:val="13"/>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3"/>
                <w:szCs w:val="13"/>
                <w:color w:val="auto"/>
              </w:rPr>
            </w:pPr>
          </w:p>
        </w:tc>
        <w:tc>
          <w:tcPr>
            <w:tcW w:w="1400" w:type="dxa"/>
            <w:vAlign w:val="bottom"/>
          </w:tcPr>
          <w:p>
            <w:pPr>
              <w:jc w:val="center"/>
              <w:ind w:right="180"/>
              <w:spacing w:after="0" w:line="158"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4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93"/>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240" w:type="dxa"/>
            <w:vAlign w:val="bottom"/>
          </w:tcPr>
          <w:p>
            <w:pPr>
              <w:spacing w:after="0"/>
              <w:rPr>
                <w:sz w:val="16"/>
                <w:szCs w:val="16"/>
                <w:color w:val="auto"/>
              </w:rPr>
            </w:pPr>
          </w:p>
        </w:tc>
        <w:tc>
          <w:tcPr>
            <w:tcW w:w="140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7"/>
                <w:szCs w:val="17"/>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18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140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4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certain assets that are required to be measured at fair value on a recurring basis as of December 31, 2025,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8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 Measurement as of December 31, 2025 Using</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3"/>
                <w:szCs w:val="13"/>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3"/>
                <w:szCs w:val="13"/>
                <w:color w:val="auto"/>
              </w:rPr>
            </w:pPr>
          </w:p>
        </w:tc>
        <w:tc>
          <w:tcPr>
            <w:tcW w:w="1400" w:type="dxa"/>
            <w:vAlign w:val="bottom"/>
          </w:tcPr>
          <w:p>
            <w:pPr>
              <w:jc w:val="center"/>
              <w:ind w:right="180"/>
              <w:spacing w:after="0" w:line="158"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4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93"/>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240" w:type="dxa"/>
            <w:vAlign w:val="bottom"/>
          </w:tcPr>
          <w:p>
            <w:pPr>
              <w:spacing w:after="0"/>
              <w:rPr>
                <w:sz w:val="16"/>
                <w:szCs w:val="16"/>
                <w:color w:val="auto"/>
              </w:rPr>
            </w:pPr>
          </w:p>
        </w:tc>
        <w:tc>
          <w:tcPr>
            <w:tcW w:w="140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7"/>
                <w:szCs w:val="17"/>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18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140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4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measured at fair value as of March 31, 2026 and December 31, 2025 include no cash equivalents.</w:t>
      </w:r>
    </w:p>
    <w:p>
      <w:pPr>
        <w:spacing w:after="0" w:line="225"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The Company also has financial assets and liabilities not required to be measured at fair value on a recurring basis, which primarily consist of cash, accounts receivable, restricted cash, accounts payable and accrued liabilities, milestone obligations under licensing agreements and product revenue allowances, the carrying values of which materially approximate their fair values.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consisted of the following as of March 31, 2026 and December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3"/>
                <w:szCs w:val="13"/>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3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5"/>
        </w:trPr>
        <w:tc>
          <w:tcPr>
            <w:tcW w:w="80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inventory, current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Work-in-process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inventory, non-current</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9,168</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Inventory, which is recorded at the lower of cost or net realizable value, includes the cost of third-party manufacturing and other direct and indirect costs and is valued using the first-in, first-out method. The Company evaluates the risk of excess inventory and product expiry by evaluating current and future product demand relative to product shelf life, taking into account all possible alternative uses for the inventory available in the ordinary course of business. The Company builds demand forecasts by considering factors such as, but not limited to, overall market potential, market share, market acceptance, patient usage and generic competition. The Company’s inventory balance consisted of $7.5 million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and $3.0 million of other products as of March 31, 2026. The Company’s inventory balance consisted of $7.8 million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and $3.2 million of other products as of December 31, 2025.</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Intangible Assets</w:t>
      </w:r>
    </w:p>
    <w:p>
      <w:pPr>
        <w:spacing w:after="0" w:line="118" w:lineRule="exact"/>
        <w:rPr>
          <w:sz w:val="20"/>
          <w:szCs w:val="20"/>
          <w:color w:val="auto"/>
        </w:rPr>
      </w:pPr>
    </w:p>
    <w:p>
      <w:pPr>
        <w:ind w:right="140"/>
        <w:spacing w:after="0" w:line="223" w:lineRule="auto"/>
        <w:rPr>
          <w:sz w:val="20"/>
          <w:szCs w:val="20"/>
          <w:color w:val="auto"/>
        </w:rPr>
      </w:pPr>
      <w:r>
        <w:rPr>
          <w:rFonts w:ascii="Times New Roman" w:cs="Times New Roman" w:eastAsia="Times New Roman" w:hAnsi="Times New Roman"/>
          <w:sz w:val="18"/>
          <w:szCs w:val="18"/>
          <w:i w:val="1"/>
          <w:iCs w:val="1"/>
          <w:color w:val="auto"/>
        </w:rPr>
        <w:t>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January 2014, the United States Food and Drug Administration (FDA) approved the New Drug Application (NDA) for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this approval, the Company met a milestone under its license agreement with Bristol-Myers Squibb (BMS) that required the Company to make a license payment of $8.0 million to BMS. In April 2018, the Company met its final milestone under its license agreement with BMS when cumulative worldwide sales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reached $250.0 million. As a result of the achievement of this milestone, the Company made a payment to BMS of $25.0 million in 2018. These milestone payments were determined to be additional consideration for the acquisition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capitalized as an intangible asset and are being amortized on a straight-line basis over the estimated economic useful life of the related product patents.</w:t>
      </w:r>
    </w:p>
    <w:p>
      <w:pPr>
        <w:spacing w:after="0" w:line="198" w:lineRule="exact"/>
        <w:rPr>
          <w:sz w:val="20"/>
          <w:szCs w:val="20"/>
          <w:color w:val="auto"/>
        </w:rPr>
      </w:pPr>
    </w:p>
    <w:p>
      <w:pPr>
        <w:ind w:right="60"/>
        <w:spacing w:after="0" w:line="225" w:lineRule="auto"/>
        <w:rPr>
          <w:sz w:val="20"/>
          <w:szCs w:val="20"/>
          <w:color w:val="auto"/>
        </w:rPr>
      </w:pPr>
      <w:r>
        <w:rPr>
          <w:rFonts w:ascii="Times New Roman" w:cs="Times New Roman" w:eastAsia="Times New Roman" w:hAnsi="Times New Roman"/>
          <w:sz w:val="18"/>
          <w:szCs w:val="18"/>
          <w:i w:val="1"/>
          <w:iCs w:val="1"/>
          <w:color w:val="auto"/>
        </w:rPr>
        <w:t>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 December 2023, the Company acquired the U.S. and Canadian rights to 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Actelion Pharmaceuticals Ltd. (Janssen),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Johnson &amp; Johnson Company. The total purchase price of $104.9 million, $100.7 million of which was paid in 2023 and the remaining $4.2 million in 2024, was allocated to the acquired intangible asset for the U.S. and Canadian rights to 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intangible asset is being amortized on a straight-line basis over the estimated economic useful life of the related product rights.</w:t>
      </w:r>
    </w:p>
    <w:p>
      <w:pPr>
        <w:spacing w:after="0" w:line="194"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7"/>
          <w:szCs w:val="17"/>
          <w:i w:val="1"/>
          <w:iCs w:val="1"/>
          <w:color w:val="auto"/>
        </w:rPr>
        <w:t>NEREUS</w:t>
      </w:r>
      <w:r>
        <w:rPr>
          <w:rFonts w:ascii="Times New Roman" w:cs="Times New Roman" w:eastAsia="Times New Roman" w:hAnsi="Times New Roman"/>
          <w:sz w:val="22"/>
          <w:szCs w:val="22"/>
          <w:i w:val="1"/>
          <w:iCs w:val="1"/>
          <w:color w:val="auto"/>
          <w:vertAlign w:val="superscript"/>
        </w:rPr>
        <w:t>TM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December 2025, the FDA approved the NDA for NEREUS</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As a result of this approval, the Company met a milestone under its license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with Eli Lilly and Company (Lilly) that required the Company to make a license payment of $10.0 million to Lilly, which was accrued in the Company’s Consolidated Balance Sheets as of December 31, 2025 and represented a non-cash investing activity for the year ended December 31, 2025, and was paid in the first quarter of 2026. This milestone obligation was determined to be additional consideration for the acquisition of NEREUS</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and capitalized as an intangible asset and is being amortized on a straight-line basis over the estimated economic useful life of the related product patents.</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amortizing intangible assets as of March 31, 2026:</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60" w:type="dxa"/>
            <w:vAlign w:val="bottom"/>
          </w:tcPr>
          <w:p>
            <w:pPr>
              <w:spacing w:after="0"/>
              <w:rPr>
                <w:sz w:val="11"/>
                <w:szCs w:val="11"/>
                <w:color w:val="auto"/>
              </w:rPr>
            </w:pPr>
          </w:p>
        </w:tc>
        <w:tc>
          <w:tcPr>
            <w:tcW w:w="2540" w:type="dxa"/>
            <w:vAlign w:val="bottom"/>
            <w:vMerge w:val="restart"/>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300" w:type="dxa"/>
            <w:vAlign w:val="bottom"/>
          </w:tcPr>
          <w:p>
            <w:pPr>
              <w:spacing w:after="0"/>
              <w:rPr>
                <w:sz w:val="11"/>
                <w:szCs w:val="11"/>
                <w:color w:val="auto"/>
              </w:rPr>
            </w:pPr>
          </w:p>
        </w:tc>
        <w:tc>
          <w:tcPr>
            <w:tcW w:w="136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1"/>
                <w:szCs w:val="11"/>
                <w:color w:val="auto"/>
              </w:rPr>
            </w:pPr>
          </w:p>
        </w:tc>
        <w:tc>
          <w:tcPr>
            <w:tcW w:w="15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1"/>
                <w:szCs w:val="11"/>
                <w:color w:val="auto"/>
              </w:rPr>
            </w:pPr>
          </w:p>
        </w:tc>
        <w:tc>
          <w:tcPr>
            <w:tcW w:w="1280" w:type="dxa"/>
            <w:vAlign w:val="bottom"/>
          </w:tcPr>
          <w:p>
            <w:pPr>
              <w:jc w:val="center"/>
              <w:ind w:right="218"/>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5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jc w:val="center"/>
              <w:ind w:right="238"/>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8"/>
        </w:trPr>
        <w:tc>
          <w:tcPr>
            <w:tcW w:w="3760" w:type="dxa"/>
            <w:vAlign w:val="bottom"/>
            <w:vMerge w:val="continue"/>
          </w:tcPr>
          <w:p>
            <w:pPr>
              <w:spacing w:after="0"/>
              <w:rPr>
                <w:sz w:val="17"/>
                <w:szCs w:val="17"/>
                <w:color w:val="auto"/>
              </w:rPr>
            </w:pPr>
          </w:p>
        </w:tc>
        <w:tc>
          <w:tcPr>
            <w:tcW w:w="2540" w:type="dxa"/>
            <w:vAlign w:val="bottom"/>
          </w:tcPr>
          <w:p>
            <w:pPr>
              <w:jc w:val="center"/>
              <w:ind w:left="697"/>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300" w:type="dxa"/>
            <w:vAlign w:val="bottom"/>
          </w:tcPr>
          <w:p>
            <w:pPr>
              <w:spacing w:after="0"/>
              <w:rPr>
                <w:sz w:val="17"/>
                <w:szCs w:val="17"/>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7"/>
                <w:szCs w:val="17"/>
                <w:color w:val="auto"/>
              </w:rPr>
            </w:pPr>
          </w:p>
        </w:tc>
        <w:tc>
          <w:tcPr>
            <w:tcW w:w="128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8"/>
        </w:trPr>
        <w:tc>
          <w:tcPr>
            <w:tcW w:w="376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23"/>
                <w:szCs w:val="23"/>
                <w:color w:val="auto"/>
                <w:vertAlign w:val="superscript"/>
              </w:rPr>
              <w:t>®</w:t>
            </w:r>
          </w:p>
        </w:tc>
        <w:tc>
          <w:tcPr>
            <w:tcW w:w="2540" w:type="dxa"/>
            <w:vAlign w:val="bottom"/>
            <w:tcBorders>
              <w:top w:val="single" w:sz="8" w:color="CCEEFF"/>
            </w:tcBorders>
            <w:shd w:val="clear" w:color="auto" w:fill="CCEEFF"/>
          </w:tcPr>
          <w:p>
            <w:pPr>
              <w:jc w:val="center"/>
              <w:ind w:left="697"/>
              <w:spacing w:after="0"/>
              <w:rPr>
                <w:sz w:val="20"/>
                <w:szCs w:val="20"/>
                <w:color w:val="auto"/>
              </w:rPr>
            </w:pPr>
            <w:r>
              <w:rPr>
                <w:rFonts w:ascii="Times New Roman" w:cs="Times New Roman" w:eastAsia="Times New Roman" w:hAnsi="Times New Roman"/>
                <w:sz w:val="18"/>
                <w:szCs w:val="18"/>
                <w:color w:val="auto"/>
                <w:w w:val="99"/>
              </w:rPr>
              <w:t>2035</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13,771</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PONVORY</w:t>
            </w:r>
            <w:r>
              <w:rPr>
                <w:rFonts w:ascii="Times New Roman" w:cs="Times New Roman" w:eastAsia="Times New Roman" w:hAnsi="Times New Roman"/>
                <w:sz w:val="23"/>
                <w:szCs w:val="23"/>
                <w:color w:val="auto"/>
                <w:vertAlign w:val="superscript"/>
              </w:rPr>
              <w:t>®</w:t>
            </w:r>
          </w:p>
        </w:tc>
        <w:tc>
          <w:tcPr>
            <w:tcW w:w="2540" w:type="dxa"/>
            <w:vAlign w:val="bottom"/>
          </w:tcPr>
          <w:p>
            <w:pPr>
              <w:jc w:val="center"/>
              <w:ind w:left="697"/>
              <w:spacing w:after="0"/>
              <w:rPr>
                <w:sz w:val="20"/>
                <w:szCs w:val="20"/>
                <w:color w:val="auto"/>
              </w:rPr>
            </w:pPr>
            <w:r>
              <w:rPr>
                <w:rFonts w:ascii="Times New Roman" w:cs="Times New Roman" w:eastAsia="Times New Roman" w:hAnsi="Times New Roman"/>
                <w:sz w:val="18"/>
                <w:szCs w:val="18"/>
                <w:color w:val="auto"/>
                <w:w w:val="99"/>
              </w:rPr>
              <w:t>2042</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91,566</w:t>
            </w:r>
          </w:p>
        </w:tc>
        <w:tc>
          <w:tcPr>
            <w:tcW w:w="0" w:type="dxa"/>
            <w:vAlign w:val="bottom"/>
          </w:tcPr>
          <w:p>
            <w:pPr>
              <w:spacing w:after="0"/>
              <w:rPr>
                <w:sz w:val="1"/>
                <w:szCs w:val="1"/>
                <w:color w:val="auto"/>
              </w:rPr>
            </w:pPr>
          </w:p>
        </w:tc>
      </w:tr>
      <w:tr>
        <w:trPr>
          <w:trHeight w:val="338"/>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NEREUS</w:t>
            </w:r>
            <w:r>
              <w:rPr>
                <w:rFonts w:ascii="Times New Roman" w:cs="Times New Roman" w:eastAsia="Times New Roman" w:hAnsi="Times New Roman"/>
                <w:sz w:val="23"/>
                <w:szCs w:val="23"/>
                <w:color w:val="auto"/>
                <w:vertAlign w:val="superscript"/>
              </w:rPr>
              <w:t>TM</w:t>
            </w:r>
          </w:p>
        </w:tc>
        <w:tc>
          <w:tcPr>
            <w:tcW w:w="2540" w:type="dxa"/>
            <w:vAlign w:val="bottom"/>
            <w:tcBorders>
              <w:bottom w:val="single" w:sz="8" w:color="CCEEFF"/>
            </w:tcBorders>
            <w:shd w:val="clear" w:color="auto" w:fill="CCEEFF"/>
          </w:tcPr>
          <w:p>
            <w:pPr>
              <w:jc w:val="center"/>
              <w:ind w:left="697"/>
              <w:spacing w:after="0"/>
              <w:rPr>
                <w:sz w:val="20"/>
                <w:szCs w:val="20"/>
                <w:color w:val="auto"/>
              </w:rPr>
            </w:pPr>
            <w:r>
              <w:rPr>
                <w:rFonts w:ascii="Times New Roman" w:cs="Times New Roman" w:eastAsia="Times New Roman" w:hAnsi="Times New Roman"/>
                <w:sz w:val="18"/>
                <w:szCs w:val="18"/>
                <w:color w:val="auto"/>
                <w:w w:val="99"/>
              </w:rPr>
              <w:t>2036</w:t>
            </w:r>
          </w:p>
        </w:tc>
        <w:tc>
          <w:tcPr>
            <w:tcW w:w="3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9,765</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amortizing intangible assets</w:t>
            </w:r>
          </w:p>
        </w:tc>
        <w:tc>
          <w:tcPr>
            <w:tcW w:w="25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147,894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32,792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115,102</w:t>
            </w:r>
          </w:p>
        </w:tc>
        <w:tc>
          <w:tcPr>
            <w:tcW w:w="0" w:type="dxa"/>
            <w:vAlign w:val="bottom"/>
          </w:tcPr>
          <w:p>
            <w:pPr>
              <w:spacing w:after="0"/>
              <w:rPr>
                <w:sz w:val="1"/>
                <w:szCs w:val="1"/>
                <w:color w:val="auto"/>
              </w:rPr>
            </w:pPr>
          </w:p>
        </w:tc>
      </w:tr>
      <w:tr>
        <w:trPr>
          <w:trHeight w:val="21"/>
        </w:trPr>
        <w:tc>
          <w:tcPr>
            <w:tcW w:w="6300" w:type="dxa"/>
            <w:vAlign w:val="bottom"/>
            <w:gridSpan w:val="2"/>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is a summary of the Company’s amortizing intangible assets as of December 31, 2025:</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7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760" w:type="dxa"/>
            <w:vAlign w:val="bottom"/>
          </w:tcPr>
          <w:p>
            <w:pPr>
              <w:spacing w:after="0"/>
              <w:rPr>
                <w:sz w:val="11"/>
                <w:szCs w:val="11"/>
                <w:color w:val="auto"/>
              </w:rPr>
            </w:pPr>
          </w:p>
        </w:tc>
        <w:tc>
          <w:tcPr>
            <w:tcW w:w="2540" w:type="dxa"/>
            <w:vAlign w:val="bottom"/>
            <w:vMerge w:val="restart"/>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300" w:type="dxa"/>
            <w:vAlign w:val="bottom"/>
          </w:tcPr>
          <w:p>
            <w:pPr>
              <w:spacing w:after="0"/>
              <w:rPr>
                <w:sz w:val="11"/>
                <w:szCs w:val="11"/>
                <w:color w:val="auto"/>
              </w:rPr>
            </w:pPr>
          </w:p>
        </w:tc>
        <w:tc>
          <w:tcPr>
            <w:tcW w:w="1360" w:type="dxa"/>
            <w:vAlign w:val="bottom"/>
            <w:gridSpan w:val="2"/>
          </w:tcPr>
          <w:p>
            <w:pPr>
              <w:jc w:val="center"/>
              <w:ind w:right="40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1"/>
                <w:szCs w:val="11"/>
                <w:color w:val="auto"/>
              </w:rPr>
            </w:pPr>
          </w:p>
        </w:tc>
        <w:tc>
          <w:tcPr>
            <w:tcW w:w="15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1"/>
                <w:szCs w:val="11"/>
                <w:color w:val="auto"/>
              </w:rPr>
            </w:pPr>
          </w:p>
        </w:tc>
        <w:tc>
          <w:tcPr>
            <w:tcW w:w="1280" w:type="dxa"/>
            <w:vAlign w:val="bottom"/>
          </w:tcPr>
          <w:p>
            <w:pPr>
              <w:jc w:val="center"/>
              <w:ind w:right="218"/>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5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jc w:val="center"/>
              <w:ind w:right="23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6"/>
        </w:trPr>
        <w:tc>
          <w:tcPr>
            <w:tcW w:w="3760" w:type="dxa"/>
            <w:vAlign w:val="bottom"/>
            <w:vMerge w:val="continue"/>
          </w:tcPr>
          <w:p>
            <w:pPr>
              <w:spacing w:after="0"/>
              <w:rPr>
                <w:sz w:val="17"/>
                <w:szCs w:val="17"/>
                <w:color w:val="auto"/>
              </w:rPr>
            </w:pPr>
          </w:p>
        </w:tc>
        <w:tc>
          <w:tcPr>
            <w:tcW w:w="2540" w:type="dxa"/>
            <w:vAlign w:val="bottom"/>
          </w:tcPr>
          <w:p>
            <w:pPr>
              <w:jc w:val="center"/>
              <w:ind w:left="697"/>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300" w:type="dxa"/>
            <w:vAlign w:val="bottom"/>
          </w:tcPr>
          <w:p>
            <w:pPr>
              <w:spacing w:after="0"/>
              <w:rPr>
                <w:sz w:val="17"/>
                <w:szCs w:val="17"/>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7"/>
                <w:szCs w:val="17"/>
                <w:color w:val="auto"/>
              </w:rPr>
            </w:pPr>
          </w:p>
        </w:tc>
        <w:tc>
          <w:tcPr>
            <w:tcW w:w="128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9"/>
        </w:trPr>
        <w:tc>
          <w:tcPr>
            <w:tcW w:w="376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23"/>
                <w:szCs w:val="23"/>
                <w:color w:val="auto"/>
                <w:vertAlign w:val="superscript"/>
              </w:rPr>
              <w:t>®</w:t>
            </w:r>
          </w:p>
        </w:tc>
        <w:tc>
          <w:tcPr>
            <w:tcW w:w="2540" w:type="dxa"/>
            <w:vAlign w:val="bottom"/>
            <w:tcBorders>
              <w:top w:val="single" w:sz="8" w:color="CCEEFF"/>
            </w:tcBorders>
            <w:shd w:val="clear" w:color="auto" w:fill="CCEEFF"/>
          </w:tcPr>
          <w:p>
            <w:pPr>
              <w:jc w:val="center"/>
              <w:ind w:left="697"/>
              <w:spacing w:after="0"/>
              <w:rPr>
                <w:sz w:val="20"/>
                <w:szCs w:val="20"/>
                <w:color w:val="auto"/>
              </w:rPr>
            </w:pPr>
            <w:r>
              <w:rPr>
                <w:rFonts w:ascii="Times New Roman" w:cs="Times New Roman" w:eastAsia="Times New Roman" w:hAnsi="Times New Roman"/>
                <w:sz w:val="18"/>
                <w:szCs w:val="18"/>
                <w:color w:val="auto"/>
                <w:w w:val="99"/>
              </w:rPr>
              <w:t>2035</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14,137</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PONVORY</w:t>
            </w:r>
            <w:r>
              <w:rPr>
                <w:rFonts w:ascii="Times New Roman" w:cs="Times New Roman" w:eastAsia="Times New Roman" w:hAnsi="Times New Roman"/>
                <w:sz w:val="23"/>
                <w:szCs w:val="23"/>
                <w:color w:val="auto"/>
                <w:vertAlign w:val="superscript"/>
              </w:rPr>
              <w:t>®</w:t>
            </w:r>
          </w:p>
        </w:tc>
        <w:tc>
          <w:tcPr>
            <w:tcW w:w="2540" w:type="dxa"/>
            <w:vAlign w:val="bottom"/>
          </w:tcPr>
          <w:p>
            <w:pPr>
              <w:jc w:val="center"/>
              <w:ind w:left="697"/>
              <w:spacing w:after="0"/>
              <w:rPr>
                <w:sz w:val="20"/>
                <w:szCs w:val="20"/>
                <w:color w:val="auto"/>
              </w:rPr>
            </w:pPr>
            <w:r>
              <w:rPr>
                <w:rFonts w:ascii="Times New Roman" w:cs="Times New Roman" w:eastAsia="Times New Roman" w:hAnsi="Times New Roman"/>
                <w:sz w:val="18"/>
                <w:szCs w:val="18"/>
                <w:color w:val="auto"/>
                <w:w w:val="99"/>
              </w:rPr>
              <w:t>2042</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92,952</w:t>
            </w:r>
          </w:p>
        </w:tc>
        <w:tc>
          <w:tcPr>
            <w:tcW w:w="0" w:type="dxa"/>
            <w:vAlign w:val="bottom"/>
          </w:tcPr>
          <w:p>
            <w:pPr>
              <w:spacing w:after="0"/>
              <w:rPr>
                <w:sz w:val="1"/>
                <w:szCs w:val="1"/>
                <w:color w:val="auto"/>
              </w:rPr>
            </w:pPr>
          </w:p>
        </w:tc>
      </w:tr>
      <w:tr>
        <w:trPr>
          <w:trHeight w:val="338"/>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NEREUS</w:t>
            </w:r>
            <w:r>
              <w:rPr>
                <w:rFonts w:ascii="Times New Roman" w:cs="Times New Roman" w:eastAsia="Times New Roman" w:hAnsi="Times New Roman"/>
                <w:sz w:val="23"/>
                <w:szCs w:val="23"/>
                <w:color w:val="auto"/>
                <w:vertAlign w:val="superscript"/>
              </w:rPr>
              <w:t>TM</w:t>
            </w:r>
          </w:p>
        </w:tc>
        <w:tc>
          <w:tcPr>
            <w:tcW w:w="2540" w:type="dxa"/>
            <w:vAlign w:val="bottom"/>
            <w:tcBorders>
              <w:bottom w:val="single" w:sz="8" w:color="CCEEFF"/>
            </w:tcBorders>
            <w:shd w:val="clear" w:color="auto" w:fill="CCEEFF"/>
          </w:tcPr>
          <w:p>
            <w:pPr>
              <w:jc w:val="center"/>
              <w:ind w:left="697"/>
              <w:spacing w:after="0"/>
              <w:rPr>
                <w:sz w:val="20"/>
                <w:szCs w:val="20"/>
                <w:color w:val="auto"/>
              </w:rPr>
            </w:pPr>
            <w:r>
              <w:rPr>
                <w:rFonts w:ascii="Times New Roman" w:cs="Times New Roman" w:eastAsia="Times New Roman" w:hAnsi="Times New Roman"/>
                <w:sz w:val="18"/>
                <w:szCs w:val="18"/>
                <w:color w:val="auto"/>
                <w:w w:val="99"/>
              </w:rPr>
              <w:t>2036</w:t>
            </w:r>
          </w:p>
        </w:tc>
        <w:tc>
          <w:tcPr>
            <w:tcW w:w="3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amortizing intangible assets</w:t>
            </w:r>
          </w:p>
        </w:tc>
        <w:tc>
          <w:tcPr>
            <w:tcW w:w="25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147,894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30,805</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117,089</w:t>
            </w: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the Company also had $27.9 million of fully amortized intangible assets related to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Intangible assets are amortized over their estimated useful economic life using the straight-line method. Amortization expense was $2.0 million and $1.8 million for the three months ended March 31, 2026 and 2025,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future intangible asset amortization schedule as of March 31, 2026:</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6"/>
                <w:szCs w:val="16"/>
                <w:color w:val="auto"/>
              </w:rPr>
            </w:pPr>
          </w:p>
        </w:tc>
        <w:tc>
          <w:tcPr>
            <w:tcW w:w="8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3"/>
        </w:trPr>
        <w:tc>
          <w:tcPr>
            <w:tcW w:w="3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30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23"/>
                <w:szCs w:val="23"/>
                <w:color w:val="auto"/>
                <w:vertAlign w:val="superscript"/>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w:t>
            </w:r>
          </w:p>
        </w:tc>
      </w:tr>
      <w:tr>
        <w:trPr>
          <w:trHeight w:val="230"/>
        </w:trPr>
        <w:tc>
          <w:tcPr>
            <w:tcW w:w="3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PONVORY</w:t>
            </w:r>
            <w:r>
              <w:rPr>
                <w:rFonts w:ascii="Times New Roman" w:cs="Times New Roman" w:eastAsia="Times New Roman" w:hAnsi="Times New Roman"/>
                <w:sz w:val="23"/>
                <w:szCs w:val="23"/>
                <w:color w:val="auto"/>
                <w:vertAlign w:val="superscript"/>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65,232</w:t>
            </w:r>
          </w:p>
        </w:tc>
      </w:tr>
      <w:tr>
        <w:trPr>
          <w:trHeight w:val="230"/>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NEREUS</w:t>
            </w:r>
            <w:r>
              <w:rPr>
                <w:rFonts w:ascii="Times New Roman" w:cs="Times New Roman" w:eastAsia="Times New Roman" w:hAnsi="Times New Roman"/>
                <w:sz w:val="23"/>
                <w:szCs w:val="23"/>
                <w:color w:val="auto"/>
                <w:vertAlign w:val="superscript"/>
              </w:rPr>
              <w:t>TM</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w:t>
            </w:r>
          </w:p>
        </w:tc>
      </w:tr>
      <w:tr>
        <w:trPr>
          <w:trHeight w:val="22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115,102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77,349</w:t>
            </w:r>
          </w:p>
        </w:tc>
      </w:tr>
      <w:tr>
        <w:trPr>
          <w:trHeight w:val="20"/>
        </w:trPr>
        <w:tc>
          <w:tcPr>
            <w:tcW w:w="3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Accounts Payable and 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accounts payable and accrued liabilities as of March 31, 2026 and December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3"/>
                <w:szCs w:val="13"/>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3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5"/>
        </w:trPr>
        <w:tc>
          <w:tcPr>
            <w:tcW w:w="80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16,506</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18,917</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10,322</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Royalties payable</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Milestone obligations under license agreements</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68,297</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has entered into a number of standard intellectual property indemnification agreements in the ordinary course of its business. Pursuant to these agreements, the Company indemnifies, holds harmless, and agrees to reimburse the indemnified</w:t>
      </w:r>
    </w:p>
    <w:p>
      <w:pPr>
        <w:sectPr>
          <w:pgSz w:w="11900" w:h="16838" w:orient="portrait"/>
          <w:cols w:equalWidth="0" w:num="1">
            <w:col w:w="11220"/>
          </w:cols>
          <w:pgMar w:left="320" w:top="114"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party for losses suffered or incurred by the indemnified party, generally the Company’s business partners or customers, in connection with any U.S. patent or any copyright or other intellectual property infringement claim by any third party with respect to the Company’s products. The term of these indemnification agreements is generally perpetual from the date of execution of the agreement. The maximum potential amount of future payments the Company could be required to make under these indemnification agreements is unlimited. Since inception, the Company has not incurred costs to defend lawsuits or settle claims related to these indemnification agreements. The Company also indemnifies its officers and directors for certain events or occurrences, subject to certain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Company’s rights to develop and commercialize its products are subject to the terms and conditions of licenses granted to the Company by other pharmaceutical companies.</w:t>
      </w:r>
    </w:p>
    <w:p>
      <w:pPr>
        <w:spacing w:after="0" w:line="158" w:lineRule="exact"/>
        <w:rPr>
          <w:sz w:val="20"/>
          <w:szCs w:val="20"/>
          <w:color w:val="auto"/>
        </w:rPr>
      </w:pPr>
    </w:p>
    <w:p>
      <w:pPr>
        <w:ind w:right="100"/>
        <w:spacing w:after="0" w:line="218" w:lineRule="auto"/>
        <w:rPr>
          <w:sz w:val="20"/>
          <w:szCs w:val="20"/>
          <w:color w:val="auto"/>
        </w:rPr>
      </w:pPr>
      <w:r>
        <w:rPr>
          <w:rFonts w:ascii="Times New Roman" w:cs="Times New Roman" w:eastAsia="Times New Roman" w:hAnsi="Times New Roman"/>
          <w:sz w:val="18"/>
          <w:szCs w:val="18"/>
          <w:i w:val="1"/>
          <w:iCs w:val="1"/>
          <w:color w:val="auto"/>
        </w:rPr>
        <w:t>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terms of a settlement agreement with Novartis Pharma AG (Novartis), Novartis transferred all U.S. and Canadian rights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franchise to the Company on December 31, 2014. The Company paid directly to Sanofi S.A. (Sanofi) a fixed royalty of 3% of net sales through December 2019 related to manufacturing know-how. The Company is also obligated to pay Sanofi a fixed royalty on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sales equal to 6% on Sanofi know-how not related to manufacturing under certain conditions for a period of up to 10 years in markets where the new chemical entity patent has expired or was not issued. The Company is obligated to pay this 6% royalty on net sales in the U.S. through November 2026.</w:t>
      </w:r>
    </w:p>
    <w:p>
      <w:pPr>
        <w:spacing w:after="0" w:line="199"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i w:val="1"/>
          <w:iCs w:val="1"/>
          <w:color w:val="auto"/>
        </w:rPr>
        <w:t>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February 2004, the Company entered into a license agreement with BMS under which it received an exclusive worldwide license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patents and patent applications, and other licenses to intellectual property, to develop and commercialize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As of March 31, 2026, the Company has paid BMS $37.5 million in upfront fees and milestone obligations, including $33.0 million of regulatory approval and commercial milestones capitalized as intangible assets (see Note 6,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The Company has no remaining milestone obligations to BMS. Additionally, the Company is obligated to make royalty payments on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sales to BMS in each territory where the Company commercializes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a period of 10 years following the first commercial sale in the territory. The royalty is 5% on net sales in territories outside the U.S. The Company’s obligation to pay royalties in the U.S. ended in April 2024. The Company is also obligated under the license agreement to pay BMS a percentage of any sublicense fees, upfront payments and milestone and other payments (excluding royalties) that it receives from a third party in connection with any sublicensing arrangement, at a rate which is in the mid-twenties. The Company is obligated to use its commercially reasonable efforts to develop and commercialize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8"/>
          <w:szCs w:val="18"/>
          <w:i w:val="1"/>
          <w:iCs w:val="1"/>
          <w:color w:val="auto"/>
        </w:rPr>
        <w:t>NEREUS</w:t>
      </w:r>
      <w:r>
        <w:rPr>
          <w:rFonts w:ascii="Times New Roman" w:cs="Times New Roman" w:eastAsia="Times New Roman" w:hAnsi="Times New Roman"/>
          <w:sz w:val="23"/>
          <w:szCs w:val="23"/>
          <w:i w:val="1"/>
          <w:iCs w:val="1"/>
          <w:color w:val="auto"/>
          <w:vertAlign w:val="superscript"/>
        </w:rPr>
        <w:t>TM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April 2012, the Company entered into a license agreement with Lilly pursuant to which the Company acquired an exclusive worldwide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 under certain patents and patent applications, and other licenses to intellectual property, to develop and commercialize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all human indications. Lilly is eligible to receive future payments based upon achievement of specified development, regulatory approval and commercialization milestones as well as tiered royalties on net sales at percentage rates up to the low double digits. As of March 31, 2026, the Company has paid Lilly $15.0 million in upfront fees and development milestones, including a $10.0 million milestone paid to Lilly during the first quarter of 2026 for the FDA’s approval of the Company’s NDA for the prevention of vomiting induced by motion in the fourth quarter of 2025, which was accrued as a current liability on the Consolidated Balance Sheets as of December 31, 2025. As of March 31, 2026, remaining milestone obligations include a $5.0 million milestone for the first approval of an application for marketing authorization for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in the E.U. and up to $80.0 million for sales milestones. The Company is obligated to use its commercially reasonable efforts to develop and commercialize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Imsidolimab. </w:t>
      </w:r>
      <w:r>
        <w:rPr>
          <w:rFonts w:ascii="Times New Roman" w:cs="Times New Roman" w:eastAsia="Times New Roman" w:hAnsi="Times New Roman"/>
          <w:sz w:val="18"/>
          <w:szCs w:val="18"/>
          <w:color w:val="auto"/>
        </w:rPr>
        <w:t>In January 2025, the Company entered into an exclusive global license agreement with AnaptysBio, Inc. (Anaptys) under which it acquired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worldwide rights to develop, manufacture and commercialize imsidolimab. Under the terms of the agreement, which was accounted for as an asset acquisition, the Company made an upfront payment of $10.0 million to Anaptys and an additional $5.0 million payment for drug supply, $14.4 million of which was included in research and development expense on the Consolidated Statements of Operations for the year ended December 31, 2025. Anaptys is eligible to receive future payments based upon achievement of specified regulatory approval and commercialization milestones as well as a 10% royalty on global net sales. As of March 31, 2026, remaining milestone obligations include up to $35.0 million for future regulatory approval and sales milestones, including $5.0 million each for the first approval of an application for marketing authorization for imsidolimab in the U.S. and E.U. and $25.0 million for a sales milestone. The Company is obligated to use its commercially reasonable efforts to develop and commercialize imsidolimab.</w:t>
      </w:r>
    </w:p>
    <w:p>
      <w:pPr>
        <w:spacing w:after="0" w:line="185"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Portfolio of CFTR activators and inhibitors</w:t>
      </w:r>
      <w:r>
        <w:rPr>
          <w:rFonts w:ascii="Times New Roman" w:cs="Times New Roman" w:eastAsia="Times New Roman" w:hAnsi="Times New Roman"/>
          <w:sz w:val="18"/>
          <w:szCs w:val="18"/>
          <w:color w:val="auto"/>
        </w:rPr>
        <w:t>. In March 2017, the Company entered into a license agreement with the University of California San Francisco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(UCSF), under which the Company acquired an exclusive worldwide license to develop and commercialize a portfolio of CFTR activators and inhibitors. Pursuant to the license agreement, the Company will develop and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commercialize the CFTR activators and inhibitors and is responsible for all development costs, including current pre-investigational new drug development work. UCSF is eligible to receive future payments based upon achievement of specified development and commercialization milestones as well as single-digit royalties on net sales. As of March 31, 2026, the Company has paid UCSF $1.8 million in upfront fees and development milestones. As of March 31, 2026, remaining milestone obligations include $11.9 million for development milestones and $33.0 million for future regulatory approval and sales milestones. Included in the $11.9 million of development milestones are $1.1 million of milestone obligations due upon the conclusion of clinical studies for each licensed product, not to exceed $3.2 million in total for the CFTR portfolio.</w:t>
      </w:r>
    </w:p>
    <w:p>
      <w:pPr>
        <w:spacing w:after="0" w:line="184" w:lineRule="exact"/>
        <w:rPr>
          <w:sz w:val="20"/>
          <w:szCs w:val="20"/>
          <w:color w:val="auto"/>
        </w:rPr>
      </w:pPr>
    </w:p>
    <w:p>
      <w:pPr>
        <w:ind w:right="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VQW-765. </w:t>
      </w:r>
      <w:r>
        <w:rPr>
          <w:rFonts w:ascii="Times New Roman" w:cs="Times New Roman" w:eastAsia="Times New Roman" w:hAnsi="Times New Roman"/>
          <w:sz w:val="18"/>
          <w:szCs w:val="18"/>
          <w:color w:val="auto"/>
        </w:rPr>
        <w:t>In connection with a settlement agreement with Novartis relating to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Company received an exclusive worldwide license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patents and patent applications, and other licenses to intellectual property, to develop and commercialize VQW-765. Pursuant to the license agreement, the Company is obligated to use its commercially reasonable efforts to develop and commercialize VQW-765 and is responsible for all development costs. The Company has no milestone obligations, but Novartis is eligible to receive tiered-royalties on net sales at percentage rates up to the mid-teens.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Olipass. </w:t>
      </w:r>
      <w:r>
        <w:rPr>
          <w:rFonts w:ascii="Times New Roman" w:cs="Times New Roman" w:eastAsia="Times New Roman" w:hAnsi="Times New Roman"/>
          <w:sz w:val="18"/>
          <w:szCs w:val="18"/>
          <w:color w:val="auto"/>
        </w:rPr>
        <w:t>In September 2022, the Company entered into an agreement with OliPass Corporation (OliPass) to jointly develop a set of ASO molecules based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OliPass’ proprietary modified peptide nucleic acids. As consideration for entering into the arrangement, the Company paid OliPass an upfront fee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million, which was recorded as research and development expense in 2022. The Company is funding the research and development activities and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option to license jointly developed intellectual property upon successful development.</w:t>
      </w:r>
    </w:p>
    <w:p>
      <w:pPr>
        <w:spacing w:after="0" w:line="20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Clinical Trial Agreement. </w:t>
      </w:r>
      <w:r>
        <w:rPr>
          <w:rFonts w:ascii="Times New Roman" w:cs="Times New Roman" w:eastAsia="Times New Roman" w:hAnsi="Times New Roman"/>
          <w:sz w:val="18"/>
          <w:szCs w:val="18"/>
          <w:color w:val="auto"/>
        </w:rPr>
        <w:t>In December 2024, the Company entered into an agreement with a third party to jointly design and complete a pediatric study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required by the FDA and the European Medicines Agency. Pursuant to the agreement, the Company will bear the primary responsibility for completing the clinical trial, and the third party will bear primary responsibility for manufacturing the clinical study product. All costs associated with the pediatric study will be shared equally by the Company and the third party. As the Company and the third party are both active participants in the research activities and both parties are exposed to significant risks and rewards, the agreement is being accounted for under Accounting Standards Codification (ASC) 808. Furthermore, no parts of the agreement are within the scope of ASC 606, because the Company determined that performing research and development activities on behalf of other parties is not part of the ordinary activities of its business. Therefore, reimbursements from the third party for research and development costs are recorded as reductions to research and development expense as incurred. Expenses recognized by the Company related to activities under the collaborative arrangement, which commenced during the first quarter of 2025, were $0.7 million for the three months ended March 31, 2026, which were reduced by amounts reimbursable from the third party of $0.3 million. Expenses recognized by the Company related to activities under the collaborative arrangement were not material for the three months ended March 31, 2025.</w:t>
      </w:r>
    </w:p>
    <w:p>
      <w:pPr>
        <w:spacing w:after="0" w:line="186" w:lineRule="exact"/>
        <w:rPr>
          <w:sz w:val="20"/>
          <w:szCs w:val="20"/>
          <w:color w:val="auto"/>
        </w:rPr>
      </w:pPr>
    </w:p>
    <w:p>
      <w:pPr>
        <w:jc w:val="both"/>
        <w:ind w:right="700"/>
        <w:spacing w:after="0" w:line="251" w:lineRule="auto"/>
        <w:rPr>
          <w:sz w:val="20"/>
          <w:szCs w:val="20"/>
          <w:color w:val="auto"/>
        </w:rPr>
      </w:pPr>
      <w:r>
        <w:rPr>
          <w:rFonts w:ascii="Times New Roman" w:cs="Times New Roman" w:eastAsia="Times New Roman" w:hAnsi="Times New Roman"/>
          <w:sz w:val="18"/>
          <w:szCs w:val="18"/>
          <w:i w:val="1"/>
          <w:iCs w:val="1"/>
          <w:color w:val="auto"/>
        </w:rPr>
        <w:t>Lease Agreements</w:t>
      </w:r>
      <w:r>
        <w:rPr>
          <w:rFonts w:ascii="Times New Roman" w:cs="Times New Roman" w:eastAsia="Times New Roman" w:hAnsi="Times New Roman"/>
          <w:sz w:val="18"/>
          <w:szCs w:val="18"/>
          <w:color w:val="auto"/>
        </w:rPr>
        <w:t>. In May 2026, the Company entered into an amendment to the lease for its headquarters at 2200 Pennsylvania Avenue, N.W.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Washington, D.C. The amendment extends the term of the lease from July 2028 to July 2038 for additional fixed payments, net of contractual rent abatements, totaling $26.9 million, among other terms.</w:t>
      </w:r>
    </w:p>
    <w:p>
      <w:pPr>
        <w:spacing w:after="0" w:line="176"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color w:val="auto"/>
        </w:rPr>
        <w:t>In August 2024, the Company entered into a master lease agreement for vehicles to be utilized by the Company’s sales force. The individual car leases commence upon delivery of the vehicles. Delivery of these vehicles began in the fourth quarter of 2024, and they were determined to be finance leases upon lease commencement. The contractual period of each lease is three years. The Company continued to lease additional cars under the master lease agreement during 2025 and 2026. The Company capitalized $0.7 million for car leases that commenced during the three months ended March 31, 2026, all of which were determined to be finance leases. Total fixed payments for the vehicle leases that had not yet commenced as of March 31, 2026 are estimated to be $0.6 million, payable over initial terms of three years, and subject to change upon finalization of each vehicle lease contract.</w:t>
      </w:r>
    </w:p>
    <w:p>
      <w:pPr>
        <w:spacing w:after="0" w:line="18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 xml:space="preserve">For further information regarding the Company’s lease agreements, see Note 8,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the consolidated financial statements included in the Company’s Annual Report for the fiscal year ended December 31, 2025.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the normal course of its business, the Company regularly enters into agreements with third-party vendors under fee service arrangements, which generally may be terminated on 90 days’ notice without incurring additional charges, other than charges for work completed or materials procured but not paid for through the effective date of termination and other costs incurred by the Company’s contractors in closing out work in progress as of the effective date of termination. The Company’s unrecognized non-cancellable purchase commitments for agreements with a remaining non-cancellable term longer than one year from March</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31, 2026 primarily relate to commitments for marketing activities and data services, of which $7.7 million, $12.0 million, $7.2 million and $2.6 million are expected to be paid in 2026, 2027, 2028 and 2029, respectively. Various other long-term agreements entered into for services with other third-party vendors, such as inventory purchase commitments, are cancellable in nature or contain variable commitment terms within the agreement that are within the Company’s control.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Accumulated Other Comprehensive Income</w:t>
      </w:r>
    </w:p>
    <w:p>
      <w:pPr>
        <w:spacing w:after="0" w:line="12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The accumulated balances related to each component of other comprehensive income, net of taxes, were as follows as of March 31, 2026 and December 31, 2025:</w:t>
      </w:r>
    </w:p>
    <w:tbl>
      <w:tblPr>
        <w:tblLayout w:type="fixed"/>
        <w:tblInd w:w="0" w:type="dxa"/>
        <w:tblCellMar>
          <w:top w:w="0" w:type="dxa"/>
          <w:left w:w="0" w:type="dxa"/>
          <w:bottom w:w="0" w:type="dxa"/>
          <w:right w:w="0" w:type="dxa"/>
        </w:tblCellMar>
      </w:tblPr>
      <w:tr>
        <w:trPr>
          <w:trHeight w:val="149"/>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2"/>
                <w:szCs w:val="12"/>
                <w:color w:val="auto"/>
              </w:rPr>
            </w:pPr>
          </w:p>
        </w:tc>
        <w:tc>
          <w:tcPr>
            <w:tcW w:w="13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2"/>
                <w:szCs w:val="12"/>
                <w:color w:val="auto"/>
              </w:rPr>
            </w:pPr>
          </w:p>
        </w:tc>
        <w:tc>
          <w:tcPr>
            <w:tcW w:w="138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5"/>
        </w:trPr>
        <w:tc>
          <w:tcPr>
            <w:tcW w:w="80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of March 31, 2026, there were 8,836,571 shares subject to outstanding options, restricted stock units (RSUs) and performance restricted stock units (PSUs) under the Amended and Restated 2016 Equity Incentive Plan (2016 Plan). No awards remain in effect under the 2006 Equity Incentive Plan (2006 Plan, and together with the 2016 Plan, Plans), which expired by its terms in April 2016. In June 2016, the Company’s stockholders approved the 2016 Plan. The 2016 Plan has been amended a number of times since to increase the number of shares reserved for issuance, among other administrative changes, including, but not limited to, an amendment to eliminate its term. Each of the amendments to the 2016 Plan was approved by the Company’s stockholders. There is a total of 18,190,000 shares of common stock authorized for issuance under the 2016 Plan, 3,230,604 shares of which remained available for future grant as of March 31, 2026.</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The Company has granted option awards under the Plans with service conditions (service option awards) that are subject to terms and conditions established by the compensation committee of the board of directors. Service option awards have 10-year contractual terms. Service option awards granted to employees and new directors upon their election vest and become exercisable over four years, with the first 25% of the shares subject to service option awards vesting on the first anniversary of the grant date and the remaining 75% of the shares subject to the service option awards in 36 equal monthly installments thereafter. Subsequent annual service option awards granted to directors vest and become exercisable in full on the first anniversary of the grant date. Service option awards granted to executive officers and certain other employees provide for partial acceleration of vesting if the executive officer or employee is subject to an involuntary termination, and full acceleration of vesting if the executive officer or employee is subject to an involuntary termination within 24 months after a change in control of the Company. Service option awards granted to directors provide for accelerated vesting if there is a change in control of the Company or if the director’s service terminates as a result of the director’s death or total and permanent disability.</w:t>
      </w:r>
    </w:p>
    <w:p>
      <w:pPr>
        <w:spacing w:after="0" w:line="17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March 31, 2026, $0.6 million of unrecognized compensation costs related to unvested service option awards are expected to be recognized over a weighted average period of 0.5 years. No option awards are classified as a liability as of March 31,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option activity under the Plans for the three months ended March 31, 2026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62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300" w:type="dxa"/>
            <w:vAlign w:val="bottom"/>
          </w:tcPr>
          <w:p>
            <w:pPr>
              <w:spacing w:after="0"/>
              <w:rPr>
                <w:sz w:val="13"/>
                <w:szCs w:val="13"/>
                <w:color w:val="auto"/>
              </w:rPr>
            </w:pPr>
          </w:p>
        </w:tc>
        <w:tc>
          <w:tcPr>
            <w:tcW w:w="132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for share and per share amounts)</w:t>
            </w:r>
          </w:p>
        </w:tc>
        <w:tc>
          <w:tcPr>
            <w:tcW w:w="1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at</w:t>
            </w:r>
          </w:p>
        </w:tc>
        <w:tc>
          <w:tcPr>
            <w:tcW w:w="17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 Term</w:t>
            </w:r>
          </w:p>
        </w:tc>
        <w:tc>
          <w:tcPr>
            <w:tcW w:w="300" w:type="dxa"/>
            <w:vAlign w:val="bottom"/>
          </w:tcPr>
          <w:p>
            <w:pPr>
              <w:spacing w:after="0"/>
              <w:rPr>
                <w:sz w:val="12"/>
                <w:szCs w:val="12"/>
                <w:color w:val="auto"/>
              </w:rPr>
            </w:pPr>
          </w:p>
        </w:tc>
        <w:tc>
          <w:tcPr>
            <w:tcW w:w="132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4480" w:type="dxa"/>
            <w:vAlign w:val="bottom"/>
            <w:vMerge w:val="continue"/>
          </w:tcPr>
          <w:p>
            <w:pPr>
              <w:spacing w:after="0"/>
              <w:rPr>
                <w:sz w:val="17"/>
                <w:szCs w:val="17"/>
                <w:color w:val="auto"/>
              </w:rPr>
            </w:pPr>
          </w:p>
        </w:tc>
        <w:tc>
          <w:tcPr>
            <w:tcW w:w="16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300" w:type="dxa"/>
            <w:vAlign w:val="bottom"/>
          </w:tcPr>
          <w:p>
            <w:pPr>
              <w:spacing w:after="0"/>
              <w:rPr>
                <w:sz w:val="17"/>
                <w:szCs w:val="17"/>
                <w:color w:val="auto"/>
              </w:rPr>
            </w:pPr>
          </w:p>
        </w:tc>
        <w:tc>
          <w:tcPr>
            <w:tcW w:w="132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9"/>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2025</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4,490,324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(282,330)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March 31, 2026</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4,207,994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March 31, 2026</w:t>
            </w: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80" w:type="dxa"/>
            <w:vAlign w:val="bottom"/>
            <w:vMerge w:val="continue"/>
          </w:tcPr>
          <w:p>
            <w:pPr>
              <w:spacing w:after="0"/>
              <w:rPr>
                <w:sz w:val="17"/>
                <w:szCs w:val="17"/>
                <w:color w:val="auto"/>
              </w:rPr>
            </w:pPr>
          </w:p>
        </w:tc>
        <w:tc>
          <w:tcPr>
            <w:tcW w:w="1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4,029,314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13.34</w:t>
            </w:r>
          </w:p>
        </w:tc>
        <w:tc>
          <w:tcPr>
            <w:tcW w:w="120" w:type="dxa"/>
            <w:vAlign w:val="bottom"/>
          </w:tcPr>
          <w:p>
            <w:pPr>
              <w:spacing w:after="0"/>
              <w:rPr>
                <w:sz w:val="17"/>
                <w:szCs w:val="17"/>
                <w:color w:val="auto"/>
              </w:rPr>
            </w:pPr>
          </w:p>
        </w:tc>
        <w:tc>
          <w:tcPr>
            <w:tcW w:w="16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March 31, 2026</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4,205,776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There were no options granted during the three months ended March 31, 2026 and 2025. There were no options exercised for the three months ended March 31, 2026 and 2025.</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 RSU is a stock award that entitles the holder to receive shares of the Company’s common stock as the award vests. The fair value of each RSU is based on the closing price of the Company’s stock on the date of grant. The Company has granted RSUs under the Plans with service conditions (service RSUs) that are subject to terms and conditions established by the compensation committee of the board of directors. Service RSUs granted to employees and new directors upon their election vest in four equal annual installments. Subsequent annual service RSUs granted to directors vest on the first anniversary of the date of grant. Service RSUs granted to executive officers and certain other employees provide for accelerated vesting if the executive officer or employee is subject to an involuntary termination within 24 months after a change in control. Service RSUs granted to directors provide for accelerated vesting if there is a change in control of the Company.</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March 31, 2026, $20.3 million of unrecognized compensation costs related to unvested service RSUs are expected to be recognized over a weighted average period of 2.1 years. No RSUs are classified as a liability as of March 31,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 activity for the 2016 Plan for the three months ended March 31, 2026 is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3"/>
        </w:trPr>
        <w:tc>
          <w:tcPr>
            <w:tcW w:w="8040" w:type="dxa"/>
            <w:vAlign w:val="bottom"/>
          </w:tcPr>
          <w:p>
            <w:pPr>
              <w:spacing w:after="0"/>
              <w:rPr>
                <w:sz w:val="15"/>
                <w:szCs w:val="15"/>
                <w:color w:val="auto"/>
              </w:rPr>
            </w:pPr>
          </w:p>
        </w:tc>
        <w:tc>
          <w:tcPr>
            <w:tcW w:w="15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03"/>
        </w:trPr>
        <w:tc>
          <w:tcPr>
            <w:tcW w:w="804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Grant Date </w:t>
            </w:r>
            <w:r>
              <w:rPr>
                <w:rFonts w:ascii="Times New Roman" w:cs="Times New Roman" w:eastAsia="Times New Roman" w:hAnsi="Times New Roman"/>
                <w:sz w:val="16"/>
                <w:szCs w:val="16"/>
                <w:b w:val="1"/>
                <w:bCs w:val="1"/>
                <w:color w:val="auto"/>
              </w:rPr>
              <w:t>Fair Value</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 2025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3,476,509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(1,033,432)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March 31, 2026</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4,223,577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fair value of the 1,033,432 RSUs that vested during the three months ended March 31, 2026 was $6.0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Restricted Stock Units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the first quarter of 2026, the compensation committee of the board of directors granted PSUs under the 2016 Plan to the Company’s executive officers. The PSUs entitle each employee to earn a number of shares of the Company’s common stock ranging from 0% to 150% of the target number of PSUs granted, based on the Company’s Total Shareholder Return (TSR) relative to the TSR of the companies comprising the Nasdaq Biotechnology Index (Relative TSR), over the three-year performance period beginning on December 31, 2025 and ending on December 31, 2028 (the Performance Period), subject to the executive’s continued employment through the compensation committee of the board of director’s certification of performance following the end of the Performance Period. Following the end of the Performance Period, the compensation committee of the board of directors will determine the extent to which the applicable performance goals have been achieved and will determine the number of PSUs, if any, that have been earned, and any such earned PSUs will vest on March 1, 2029. The PSUs provide for accelerated vesting in certain scenarios including in the event that the executive is subject to an involuntary termination within 24 months after a change in control.</w:t>
      </w:r>
    </w:p>
    <w:p>
      <w:pPr>
        <w:spacing w:after="0" w:line="18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March 31, 2026, $3.2 million of unrecognized compensation costs related to unvested PSUs are expected to be recognized over a weighted average period of 2.9 years. No PSUs are classified as a liability as of March 31,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PSU activity for the 2016 Plan for the three months ended March 31, 2026, based on award at target, is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3"/>
        </w:trPr>
        <w:tc>
          <w:tcPr>
            <w:tcW w:w="8040" w:type="dxa"/>
            <w:vAlign w:val="bottom"/>
          </w:tcPr>
          <w:p>
            <w:pPr>
              <w:spacing w:after="0"/>
              <w:rPr>
                <w:sz w:val="15"/>
                <w:szCs w:val="15"/>
                <w:color w:val="auto"/>
              </w:rPr>
            </w:pPr>
          </w:p>
        </w:tc>
        <w:tc>
          <w:tcPr>
            <w:tcW w:w="152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03"/>
        </w:trPr>
        <w:tc>
          <w:tcPr>
            <w:tcW w:w="804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Grant Date </w:t>
            </w:r>
            <w:r>
              <w:rPr>
                <w:rFonts w:ascii="Times New Roman" w:cs="Times New Roman" w:eastAsia="Times New Roman" w:hAnsi="Times New Roman"/>
                <w:sz w:val="16"/>
                <w:szCs w:val="16"/>
                <w:b w:val="1"/>
                <w:bCs w:val="1"/>
                <w:color w:val="auto"/>
              </w:rPr>
              <w:t>Fair Value</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 2025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March 31, 2026</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PSUs vested during the three months ended March 31, 2026.</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recognized for the three months ended March 31, 2026 and 2025 was comprised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4"/>
          </w:tcPr>
          <w:p>
            <w:pPr>
              <w:jc w:val="right"/>
              <w:ind w:right="8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1"/>
                <w:szCs w:val="11"/>
                <w:color w:val="auto"/>
              </w:rPr>
            </w:pPr>
          </w:p>
        </w:tc>
        <w:tc>
          <w:tcPr>
            <w:tcW w:w="136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1"/>
                <w:szCs w:val="11"/>
                <w:color w:val="auto"/>
              </w:rPr>
            </w:pPr>
          </w:p>
        </w:tc>
        <w:tc>
          <w:tcPr>
            <w:tcW w:w="1240" w:type="dxa"/>
            <w:vAlign w:val="bottom"/>
          </w:tcPr>
          <w:p>
            <w:pPr>
              <w:jc w:val="right"/>
              <w:ind w:right="357"/>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80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grant using the Black-Scholes-Merton option pricing model. Expected volatility rates are based on the historical volatility of the Company’s publicly traded common stock and other factors. The expected terms are determined based on a combination of historical exercise data and hypothetical exercise data for unexercised stock options. The risk-free interest rates are based on the U.S. Treasury yield for a period consistent with the expected term of the option in effect at the time of the grant. The Company has never paid cash dividends to its stockholders and does not plan to pay dividends in the foreseeable future. There were no options granted during the three months ended March 31, 2026 and 2025.</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fair value of each PSU is estimated on the date of grant using a Monte Carlo model because the performance target is based on a market condition. Expense related to these PSUs is recognized ratably over the three-year measurement period. The expected volatility rate is based on the historical volatility of the Company’s publicly traded common stock and other factors. The expected term is determined based on the remaining performance period of the award. The risk-free interest rate is based on the U.S. Treasury yield for a period consistent with the expected term of the option in effect at the time of the grant. The Company has never paid cash dividends to its stockholders and does not plan to pay dividends in the foreseeable future. Assumptions used in the Monte Carlo model for PSUs granted during the three months ended March 31, 2026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80" w:type="dxa"/>
            <w:vAlign w:val="bottom"/>
          </w:tcPr>
          <w:p>
            <w:pPr>
              <w:spacing w:after="0"/>
              <w:rPr>
                <w:sz w:val="16"/>
                <w:szCs w:val="16"/>
                <w:color w:val="auto"/>
              </w:rPr>
            </w:pPr>
          </w:p>
        </w:tc>
        <w:tc>
          <w:tcPr>
            <w:tcW w:w="16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95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0"/>
        </w:trPr>
        <w:tc>
          <w:tcPr>
            <w:tcW w:w="958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229"/>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of the Company</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29"/>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performance period (years)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34"/>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3.44 %</w:t>
            </w: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Company assesses the need for a valuation allowance against its deferred tax assets each quarter through the review of all available positive and negative evidence. Deferred tax assets are reduced by a valuation allowance when, in the opinion of management, it is more likely than not that some portion or all of the deferred tax assets will not be realized. After considering all available positive and negative evidence, including but not limited to historical, current and future projected results and significant risks and uncertainties related to forecasts, the Company has concluded that it is not more likely than not that substantially all of its deferred tax assets are realizable in future periods and maintained a valuation allowance against all net deferred tax assets as of March 31, 2026 and December 31, 2025. The valuation allowance was recorded in the fourth quarter of 2025, resulting in a non-cash income tax expense of $113.7 million for the year ended December 31, 2025.</w:t>
      </w:r>
    </w:p>
    <w:p>
      <w:pPr>
        <w:spacing w:after="0" w:line="8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As a result of the valuation allowance against the Company’s deferred tax assets, the Company recognized an income tax provision of $0.1 million for the three months ended March 31, 2026 related to discrete income tax expense. The income tax benefit of $7.9 million for the three months ended March 31, 2025 was primarily driven by the estimated effective tax rate for the year, as well as discrete income tax expense of $0.5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121"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Basic earnings per share (EPS) is calculated by dividing the net loss by the weighted average number of shares of common stock outstanding. Diluted EPS is computed by dividing the net loss by the weighted average number of shares of common stock outstanding, plus potential outstanding common stock for the period. Potential outstanding common stock includes stock options and shares underlying RSUs and PSUs, but only to the extent that their inclusion is dilutive, as calculated using the treasury stock method.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of common stock for the three months ended March 31, 2026 and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4"/>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for share and per share amounts)</w:t>
            </w:r>
          </w:p>
        </w:tc>
        <w:tc>
          <w:tcPr>
            <w:tcW w:w="280" w:type="dxa"/>
            <w:vAlign w:val="bottom"/>
          </w:tcPr>
          <w:p>
            <w:pPr>
              <w:spacing w:after="0"/>
              <w:rPr>
                <w:sz w:val="11"/>
                <w:szCs w:val="11"/>
                <w:color w:val="auto"/>
              </w:rPr>
            </w:pPr>
          </w:p>
        </w:tc>
        <w:tc>
          <w:tcPr>
            <w:tcW w:w="136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1"/>
                <w:szCs w:val="11"/>
                <w:color w:val="auto"/>
              </w:rPr>
            </w:pPr>
          </w:p>
        </w:tc>
        <w:tc>
          <w:tcPr>
            <w:tcW w:w="1240" w:type="dxa"/>
            <w:vAlign w:val="bottom"/>
          </w:tcPr>
          <w:p>
            <w:pPr>
              <w:jc w:val="right"/>
              <w:ind w:right="356"/>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80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(48,567)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(29,494)</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59,459,982</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58,527,775</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(0.82)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Antidilutive securities excluded from calculations of diluted net loss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8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6,423,183</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6,507,815</w:t>
            </w: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incurred a net loss for the three months ended March 31, 2026 and 2025 causing inclusion of any potentially dilutive securities to have an anti-dilutive effect, resulting in dilutive loss per share and basic loss per share attributable to common stockholders being equivalent.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operates in one reportable segment, which includes all activities related to the development and commercialization of innovative therapies to address high unmet medical needs and improve the lives of patients. The determination of a single reportable segment is consistent with the consolidated financial information regularly provided to the Company’s chief operating decision maker (CODM), which is its president, chief executive officer and chairman of the board, who reviews and evaluates consolidated net income (loss) for purposes of assessing performance, making operating decisions, allocating resources and planning and forecasting for future periods. The measure of segment assets is reported on the balance sheet as total assets.</w:t>
      </w:r>
    </w:p>
    <w:p>
      <w:pPr>
        <w:spacing w:after="0" w:line="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segment revenue and significant expense categories included within the product segment’s measure of profit or loss for the three months ended March 31, 2026 and 2025:</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1"/>
                <w:szCs w:val="11"/>
                <w:color w:val="auto"/>
              </w:rPr>
            </w:pPr>
          </w:p>
        </w:tc>
        <w:tc>
          <w:tcPr>
            <w:tcW w:w="128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1"/>
                <w:szCs w:val="11"/>
                <w:color w:val="auto"/>
              </w:rPr>
            </w:pPr>
          </w:p>
        </w:tc>
        <w:tc>
          <w:tcPr>
            <w:tcW w:w="1180" w:type="dxa"/>
            <w:vAlign w:val="bottom"/>
          </w:tcPr>
          <w:p>
            <w:pPr>
              <w:jc w:val="right"/>
              <w:ind w:right="314"/>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826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50,041</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goods sold excluding amortization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50,084</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Legal Matters</w:t>
      </w:r>
    </w:p>
    <w:p>
      <w:pPr>
        <w:spacing w:after="0" w:line="116"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8"/>
          <w:szCs w:val="18"/>
          <w:i w:val="1"/>
          <w:iCs w:val="1"/>
          <w:color w:val="auto"/>
        </w:rPr>
        <w:t>HETLIOZ</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In December 2022, the Company filed patent infringement lawsuits, including Hatch-Waxman Act claims, against each of Teva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Pharmaceuticals USA, Inc. (Teva) and Apotex Inc. and Apotex Corp. (Apotex) in the U.S. District Court for the District of New Jersey (NJ District Court) asserting that U.S. Patent No. 11,285,129 (‘129 Patent), will be infringed by Teva’s and Apotex’ generic versions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each of which was approved by the FDA. The Company asked the NJ District Court to, among other things, order that the effective date of the FDA’s approval of Teva’s and Apotex’ generic versions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be a date that is no earlier than the expiration of the ‘129 Patent, or such later date that the NJ District Court may determine, and enjoin each of Teva and Apotex from the commercial manufacture, use, import, offer for sale and/or sale of their generic versions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until the expiration of the ‘129 Patent, or such later date that the NJ District Court may determine. In February 2023, the case was transferred to the U.S. District Court for the District of Delaware (Delaware District Court). In April 2023, Teva and Apotex moved for judgment on the pleadings. In June 2024, the Delaware District Court denied those motions, allowing the Company’s lawsuit to proceed. In March 2025, the Delaware District Court held a claim</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construction hearing, which resolved two claim term disputes in the Company’s favor and deferred ruling on a third dispute between the parties. In May 2025, the Delaware District Court consolidated this action with the Company’s action relating to the ‘556 Patent (as defined below). In March 2026, the Delaware District Court held a hearing on the Company’s and Teva’s and Apotex’s summary judgment and </w:t>
      </w:r>
      <w:r>
        <w:rPr>
          <w:rFonts w:ascii="Times New Roman" w:cs="Times New Roman" w:eastAsia="Times New Roman" w:hAnsi="Times New Roman"/>
          <w:sz w:val="18"/>
          <w:szCs w:val="18"/>
          <w:i w:val="1"/>
          <w:iCs w:val="1"/>
          <w:color w:val="auto"/>
        </w:rPr>
        <w:t>Daubert</w:t>
      </w:r>
      <w:r>
        <w:rPr>
          <w:rFonts w:ascii="Times New Roman" w:cs="Times New Roman" w:eastAsia="Times New Roman" w:hAnsi="Times New Roman"/>
          <w:sz w:val="18"/>
          <w:szCs w:val="18"/>
          <w:color w:val="auto"/>
        </w:rPr>
        <w:t xml:space="preserve"> motion. The Company’s lawsuit remains pending, and a trial that was scheduled to begin on August 3, 2026 has been rescheduled to begin on October 29, 2026.</w:t>
      </w:r>
    </w:p>
    <w:p>
      <w:pPr>
        <w:spacing w:after="0" w:line="18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In January 2023, the Company filed a lawsuit in the NJ District Court against Teva challenging Teva’s advertising and marketing practices related to its at risk launch of its generic version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the single indication of Non-24. The Company believes that Teva’s advertising and marketing practices related to its generic version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promote its product for uses beyond the limited labeling that Teva sought, and the FDA approved. The Company seeks to, among other things, enjoin Teva from engaging in false and misleading advertising and recover monetary damages. In December 2023, the case was transferred to the Delaware District Court following Teva’s motion to transfer and dismiss the case earlier that year. In February 2025, the Delaware District Court denied Teva’s motion to dismiss, allowing the Company’s lawsuit to proceed. In March 2025, Teva filed its answer and asserted counterclaims against the Company for alleged violations of the Lanham Act, antitrust and state trade laws. In the same month, the Delaware District Court declined to consolidate this action with the Company’s cases alleging infringement of the ‘129 Patent and the ‘556 Patent (as defined below). In January 2026, the parties filed a stipulation to dismiss the case.</w:t>
      </w:r>
    </w:p>
    <w:p>
      <w:pPr>
        <w:spacing w:after="0" w:line="199"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In January 2023, the Company filed a lawsuit in the U.S. District Court for the District of Columbia (DC District Court) against the FDA challenging the FDA’s approval of Teva’s Abbreviated New Drug Application (ANDA) for its generic version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capsules under the Administrative Procedure Act (APA), the Food, Drug, and Cosmetic Act (FDCA), and FDA regulations. Under the FDCA, every ANDA must contain information to show that the labeling proposed for the generic drug is the same as the labeling approved for the listed drug. The labeling and packaging for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includes Braille, but Teva’s generic version does not. On this basis, the Company believes that Teva’s approved labeling does not comply with applicable requirements. The Company has asked the DC District Court to, among other things, vacate the FDA’s approval of Teva’s ANDA, declare that the approval of the ANDA was unlawful, arbitrary, and capricious and compel the FDA to order Teva to recall its generic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In February 2023, Teva intervened in the lawsuit as a defendant. In September 2023, the Company amended its lawsuit to request that the DC District Court set aside the FDA’s July 2023 denial of the Company’s citizen petition, originally filed with the FDA in January 2023. In April 2024, the Company filed a motion for summary judgment. In February 2025, the DC District Court denied the Company’s motion and granted the FDA and Teva’s cross motions for summary judgment. In February 2025, the Company appealed to the U.S. Court of Appeals for the District of Columbia Circuit (DC Circuit). In October 2025, the DC Circuit granted the FDA’s motion for a stay of the briefing schedule that it filed in October 2025 due to the government shutdown, and the stay was lifted in November 2025. An oral argument was held on March 12, 2026.</w:t>
      </w:r>
    </w:p>
    <w:p>
      <w:pPr>
        <w:spacing w:after="0" w:line="20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In September 2023, the Company filed a lawsuit in the DC District Court against the FDA challenging the FDA’s approval of an ANDA filed by MSN Pharmaceuticals Inc. and MSN Laboratories Private Limited (MSN) for its generic version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capsules under the APA, the FDCA, FDA regulations and the Appointments Clause of the U.S. Constitution. The Company believes that MSN’s underlying approval data, particularly its bioequivalence studies, are faulty. On this basis, the Company asked the DC District Court to, among other things, vacate the FDA’s approval of MSN’s ANDA, declare that the approval of the ANDA was unlawful, arbitrary, and capricious, is unconstitutional under the Appointments Clause, and compel the FDA to order MSN to recall its generic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In December 2023, the Company filed a motion for summary judgment. In January 2024, the FDA opposed the Company’s motion and moved to waive the administrative record, following which the court held an oral argument on the cross-motions. The DC District Court issued an order compelling the FDA to serve the administrative record and set deadlines for further proceedings. In April 2024, the Company filed a motion for summary judgment. In July 2024, the DC District Court held an oral argument on the motion to dismiss that the FDA filed in January 2024, which the Company opposed in February 2024. In September 2024, the DC District Court granted in part the FDA’s motion to dismiss as to the Company’s APA claims and denied the FDA’s motion to dismiss as to the Company’s claims under the Appointments Clause. In August 2025, the Company filed a motion for summary judgment based on its Appointments Clause claims, to which the FDA filed an opposition and cross-motion for summary judgment in September 2025. In January 2026, the DC District Court denied the cross-motions for summary judgment without prejudice and stayed the case pending resolution of an agency appeal. The Company’s lawsuit remains pending.</w:t>
      </w:r>
    </w:p>
    <w:p>
      <w:pPr>
        <w:spacing w:after="0" w:line="2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April 2024, the Company filed a lawsuit in the Delaware District Court against MSN and its commercial partner Amneal Pharmaceuticals, Inc. (Amneal), and Impax Laboratories LLC (Impax) alleging claims for false advertising in violation of the Lanham Act and unfair competition under several state laws as well as claims for breach of express representation and fraudulent inducement of a license agreement. In July 2024, the defendants filed a motion to dismiss and in September 2024, the Company opposed the motion, to which the defendants replied in October 2024. In July 2025, the Delaware District Court issued its report and recommendation to deny the defendants’ motion to dismiss as to standing but granted their motion to</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dismiss the Lanham Act claims, to which the Company objected in August 2025. In September 2025, the Delaware District Court overruled the Company’s objections. In October 2025, the Company appealed the Delaware District Court’s decision. The Company’s lawsuit remains pending.</w:t>
      </w:r>
    </w:p>
    <w:p>
      <w:pPr>
        <w:spacing w:after="0" w:line="162"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7"/>
          <w:szCs w:val="17"/>
          <w:color w:val="auto"/>
        </w:rPr>
        <w:t>In December 2024, the Company filed a lawsuit in the Delaware District Court against each of Teva and Apotex asserting U.S. Patent No. 11,918,556 (‘556 Patent), a method of administration patent that was not litigated in the prior Delaware District Court cases, will be infringed by Teva’s and Apotex’s generic versions of HETLIOZ</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each of which was approved by the FDA. The Company has asked the Delaware District Court to, among other things, order that the effective date of the FDA’s approval of Teva’s and Apotex’ generic versions of HETLIOZ</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be a date that is no earlier than the expiration of the ‘556 Patent, or such later date that the Delaware District Court may determine, and enjoin each of Teva and Apotex from the commercial manufacture, use, import, offer for sale and/or sale of their generic versions of HETLIOZ</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until the expiration of the ‘556 Patent, or such later date that the Delaware District Court may determine. In March 2025, Teva filed its answer and asserted counterclaims against the Company, including, among other things, for alleged violation of the antitrust laws and inequitable conduct, which the Company opposed in May 2025. The Delaware District Court declined to consolidate this action with the Company’s case alleging Lanham Act violations against Teva but consolidated this action with the Company’s action relating to the ‘129 Patent. In March 2026, the Delaware District Court held a hearing on the Company’s and Teva’s and Apotex’s summary judgment and </w:t>
      </w:r>
      <w:r>
        <w:rPr>
          <w:rFonts w:ascii="Times New Roman" w:cs="Times New Roman" w:eastAsia="Times New Roman" w:hAnsi="Times New Roman"/>
          <w:sz w:val="17"/>
          <w:szCs w:val="17"/>
          <w:i w:val="1"/>
          <w:iCs w:val="1"/>
          <w:color w:val="auto"/>
        </w:rPr>
        <w:t>Daubert</w:t>
      </w:r>
      <w:r>
        <w:rPr>
          <w:rFonts w:ascii="Times New Roman" w:cs="Times New Roman" w:eastAsia="Times New Roman" w:hAnsi="Times New Roman"/>
          <w:sz w:val="17"/>
          <w:szCs w:val="17"/>
          <w:color w:val="auto"/>
        </w:rPr>
        <w:t xml:space="preserve"> motion. The Company’s lawsuit remains pending, and a trial that was scheduled to begin on August 3, 2026 has been rescheduled to begin on October 29, 2026.</w:t>
      </w:r>
    </w:p>
    <w:p>
      <w:pPr>
        <w:spacing w:after="0" w:line="18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8"/>
          <w:szCs w:val="18"/>
          <w:i w:val="1"/>
          <w:iCs w:val="1"/>
          <w:color w:val="auto"/>
        </w:rPr>
        <w:t>HETLIOZ LQ</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In July 2024, the Company filed a Hatch-Waxman lawsuit against MSN in the Delaware District Court asserting that U.S. Patent Nos.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10,179,119, 11,266,622, 11,285,129, 11,850,229, 10,610,510, 10,980,770, and 11,759,446 will be infringed by MSN’s generic version of HETLIOZ LQ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which MSN is seeking FDA approval. In June 2025, the Company filed an amended complaint against MSN, further alleging that U.S. Patent Nos. 10,071,977, 11,566,011 and 11,918,556 (all asserted HETLIOZ LQ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patents together, the Asserted Patents) will also be infringed by MSN’s generic version of HETLIOZ LQ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Company has asked the Delaware District Court to, among other things, enter judgment that MSN has infringed at least one claim of each of the Asserted Patents by submitting or causing to be submitted its ANDA to obtain FDA approval for the commercial manufacture, use, import, offer for sale and/or sale in the U.S. of its generic version of HETLIOZ LQ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before the expiration of each of the Asserted Patents, enter judgment that the use of MSN’s generic version of HETLIOZ LQ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the U.S. before the expiration of each of the Asserted Patents will directly infringe at least one claim of each of the Asserted Patents, order that the effective date of any approval by the FDA of MSN’s generic version of HETLIOZ LQ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be a date that is no earlier than the expiration of the last expiring Asserted Patent(s), or such later date as the Court may determine, enjoin MSN from the commercial manufacture, use, import, offer for sale and/or sale of its generic version of HETLIOZ LQ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until the expiration of each of the Asserted Patents or such later date as the Court may determine, and award monetary damages, to the extent applicable. The Company’s lawsuit remains pending, and a trial that was scheduled to begin on September 14, 2026 has been rescheduled to begin on June 1, 2027.</w:t>
      </w:r>
    </w:p>
    <w:p>
      <w:pPr>
        <w:spacing w:after="0" w:line="205"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8"/>
          <w:szCs w:val="18"/>
          <w:i w:val="1"/>
          <w:iCs w:val="1"/>
          <w:color w:val="auto"/>
        </w:rPr>
        <w:t>Other Matters</w:t>
      </w:r>
      <w:r>
        <w:rPr>
          <w:rFonts w:ascii="Times New Roman" w:cs="Times New Roman" w:eastAsia="Times New Roman" w:hAnsi="Times New Roman"/>
          <w:sz w:val="18"/>
          <w:szCs w:val="18"/>
          <w:color w:val="auto"/>
        </w:rPr>
        <w:t>. From April 2022 to July 2024, the Company filed eighteen lawsuits in the DC District Court against the FDA to compel the FDA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produce records under the Freedom of Information Act (FOIA) regarding, among other matters: the FDA’s denial of the Company’s supplemental New Drug Application (sNDA) for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the treatment of jet lag disorder; cases in which the FDA waived its putative requirement of a 9-month non-rodent toxicity study before drugs can be tested on human patients for extended durations; communications external to and within the FDA relating to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warning letter that the FDA sent to the Company concerning its webpages for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FDA’s removal of a clinical trials design presentation from its website; discipline reviews relating to the FDA’s evaluations of the Company’s sNDA for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a third-party sNDA for jet lag; internal standard operating procedures or guidance relating to the FDA’s processing of incoming FOIA requests; and bioequivalence and other study reports submitted relating to the FDA’s consideration of tasimelteon ANDAs. Nine of these lawsuits have since been resolved in the Company’s favor and the other nine remain outstanding. The FDA has failed to respond and provide the requested documents within the statutory timeframe with respect to each of these nine outstanding cases. The Company has asked the DC District Court to, among other things, compel the FDA to comply with its obligations and declare that its lack of compliance violates FOIA.</w:t>
      </w:r>
    </w:p>
    <w:p>
      <w:pPr>
        <w:spacing w:after="0" w:line="206"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In September 2022, the Company filed a lawsuit in the DC District Court against the FDA to compel the FDA to comply with two separate non-discretionary obligations under the FDCA and its implementing regulations: an obligation to publish a notice of an opportunity for a hearing on the Company’s sNDA for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the treatment of jet lag disorder in the Federal Register within 180 days of the filing of the sNDA, and a separate obligation to publish the same notice within 60 days of the request for a hearing. The FDA published the notice of an opportunity for a hearing on October 11, 2022. The Company has asked the DC District Court to, among other things, compel the FDA to comply with its obligations and declare that its lack of compliance violates the FDCA and the FDA regulations. In January 2024, the DC District Court held an oral argument on dispositive cross-motions, following which the DC District Court granted in part the Company’s motion for summary judgment. The DC District Court ruled that the FDA violated the statute and ordered the FDA to either finally resolve the Company’s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application or commence a hearing on or before March 5, 2024. In March 2024, the Company and the FDA filed a consent motion for entry of final judgment in the Company’s favor on its APA claim for the FDA’s unreasonable delay in resolving the hearing request, following which the FDA refused to hold a hearing or approve the Company’s sNDA for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the treatment of jet lag disorder. The Company subsequently filed a petition for review in the DC Circuit. Under the FDCA, the FDA has an obligation to either approve an sNDA or to hold a hearing on the application’s approvability. The Company’s petition asks the DC Circuit to set aside the FDA’s order refusing to hold a hearing and refusing approval. In January 2025, the DC Circuit held an oral argument. In August 2025, the DC Circuit issued a decision in favor of the Company against the FDA, setting aside the FDA’s refusal to hold a hearing on the Company’s sNDA for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the treatment of jet lag disorder and remanding the case back to the FDA. In October 2025, the Company announced that it had entered into a collaborative framework with the FDA for the resolution of certain of its disputes regarding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(the FDA Agreement), pursuant to which, the FDA agreed to conduct an expedited re-review of the sNDA and the Company sought a temporary abeyance in these proceedings. In January 2026, the FDA notified the Company that, following its re-review of the sNDA, it has determined that the sNDA cannot be approved in its current form. In January 2026, the Company requested that the FDA Commissioner resume hearing proceedings. In March 2026, the Office of the Commissioner granted the Company’s hearing request. The proceedings remain pending.</w:t>
      </w:r>
    </w:p>
    <w:p>
      <w:pPr>
        <w:spacing w:after="0" w:line="20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In May 2023, the Company filed a lawsuit in the U.S. Court of Federal Claims (Federal Claims Court) against the federal government for the uncompensated taking and misuse of the Company’s trade secrets and confidential information. The Company believes that the FDA violated the Fifth Amendment’s due process clause by improperly providing confidential details from the Company’s drug master files for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 generic drug manufacturers during the FDA’s review of the manufacturers’ ANDAs. The Company has asked the Federal Claims Court to, among other things, declare that the FDA’s disclosure of the Company’s confidential commercial information constitutes a taking for purposes of the Fifth Amendment and award just compensation. The federal government filed a motion to dismiss the complaint, which the Company opposed. In January 2024, the Federal Claims Court held an oral argument on the motion to dismiss, following which the Federal Claims Court issued a decision denying in part the government’s motion, allowing the Company’s takings claim to proceed. In April 2024, the government filed a judgment on the pleadings, to which the Company opposed in July 2024 and the government replied in August 2024. In December 2024, the Federal Claims Court held an oral argument on the motion for judgment on the pleadings and in January 2025, the Federal Claims Court ruled against the Company. In February 2025, the Company appealed the ruling to the U.S. Court of Appeals for the Federal Circuit. The Company’s appeal remains pending.</w:t>
      </w:r>
    </w:p>
    <w:p>
      <w:pPr>
        <w:spacing w:after="0" w:line="19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In February 2024, the Company filed a lawsuit in the DC District Court against the FDA to compel the FDA to comply with its statutory obligations under the FDCA and its implementing regulations, and to challenge the FDA’s complete response letter and 60-day filing regulations, which the Company believes do not absolve the FDA of its statutory responsibilities. Under the FDCA, the FDA has an obligation to either approve the Company’s sNDA for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the treatment of insomnia characterized by difficulties with sleep initiation within 180 days of the filing of the sNDA or give the Company a notice of an opportunity for a hearing. The Company submitted the sNDA on May 4, 2023. The Company has asked the DC District Court to, among other things, compel the FDA to comply with its obligations, declare that its lack of compliance violates the FDCA and the FDA regulations and declare the FDA’s complete response letter and 60-day filing regulations unlawful. In June 2024, the Company filed a motion for summary judgment and the FDA published a notice of opportunity for a hearing. In July 2024, the FDA opposed the Company’s motion for summary judgment. In September 2024, the DC District Court held an oral argument on the dispositive cross motions. In March and April 2025, the parties provided supplemental briefing. In May 2025, the DC District Court held a further hearing on the supplemental briefings. In September 2025, the Company filed a motion to stay proceedings in the case until January 2026 pursuant to the FDA Agreement. In January 2026, the Company and the FDA asked the DC District Court to lift the abeyance. The Company’s lawsuit remains pending.</w:t>
      </w:r>
    </w:p>
    <w:p>
      <w:pPr>
        <w:spacing w:after="0" w:line="193"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18"/>
          <w:szCs w:val="18"/>
          <w:color w:val="auto"/>
        </w:rPr>
        <w:t>In August 2024, the Company filed a lawsuit against the FDA in the DC District Court challenging FDA decisionmakers’ authority under the Appointments Clause of the U.S. Constitution to render a decision on the Company’s new drug application for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to treat symptoms of gastroparesis. In September 2024, the Company filed a motion for a preliminary injunction to enjoin the FDA from subjecting the Company’s NDA for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the treatment of symptoms of gastroparesis to a final decision prior to the PDUFA target date of September 18, 2024. In September 2024, the DC District Court denied the motion. The Company filed a motion for summary judgment in December 2024, and in January 2025, the FDA opposed the motion and cross-moved to dismiss and for summary judgment. In February 2025, the Company filed its reply and opposition, to which the FDA replied in March 2025. The Company’s lawsuit remains pending.</w:t>
      </w:r>
    </w:p>
    <w:p>
      <w:pPr>
        <w:spacing w:after="0" w:line="203"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In February 2025, the Company filed a lawsuit in the DC District Court against the FDA to compel the FDA to comply with its statutory obligations under the FDCA and its implementing regulations and to challenge the FDA’s reliance on PDUFA deadlines and its complete response letter and 60-day filing regulations, which the Company believes do not absolve the FDA of its statutory responsibilities. Under the FDCA, the FDA has an obligation to either approve the Company’s NDA for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to prevent vomiting induced by motion within 180 days of the filing of the NDA or give the Company a notice of</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an opportunity for a hearing. The Company submitted the NDA on December 30, 2024. The Company has asked the DC District Court to, among other things, compel the FDA to comply with its obligations, declare that its lack of compliance violates the FDCA and the FDA regulations and declare the FDA’s complete response letter and 60-day filing regulations and adherence to PDUFA deadlines unlawful. Separately, under the FDCA, the FDA has an obligation to commence a hearing on the Company’s NDA for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in gastroparesis within 120 days of a timely accepted notice of opportunity for a hearing, which the FDA issued on January 7, 2025. In April 2025, the Company filed a motion for summary judgment regarding its motion sickness NDA and requested to file summary judgment regarding its gastroparesis NDA. In May 2025, the DC District Court held a hearing on the motion regarding the motion sickness NDA, and the FDA approved the motion sickness NDA in December 2025. The Center for Drug Evaluation and Research issued a proposed order denying a hearing on the gastroparesis NDA in July 2025. In September 2025, the Company filed a motion to stay proceedings in the DC District Court regarding the gastroparesis NDA until January 2026 pursuant to the FDA Agreement. In January 2026, the Company and the FDA asked the DC District Court to lift the abeyance. The Company’s lawsuit remains pending.</w:t>
      </w:r>
    </w:p>
    <w:p>
      <w:pPr>
        <w:spacing w:after="0" w:line="195" w:lineRule="exact"/>
        <w:rPr>
          <w:sz w:val="20"/>
          <w:szCs w:val="20"/>
          <w:color w:val="auto"/>
        </w:rPr>
      </w:pPr>
    </w:p>
    <w:p>
      <w:pPr>
        <w:jc w:val="both"/>
        <w:ind w:right="80"/>
        <w:spacing w:after="0" w:line="239" w:lineRule="auto"/>
        <w:rPr>
          <w:sz w:val="20"/>
          <w:szCs w:val="20"/>
          <w:color w:val="auto"/>
        </w:rPr>
      </w:pPr>
      <w:r>
        <w:rPr>
          <w:rFonts w:ascii="Times New Roman" w:cs="Times New Roman" w:eastAsia="Times New Roman" w:hAnsi="Times New Roman"/>
          <w:sz w:val="18"/>
          <w:szCs w:val="18"/>
          <w:color w:val="auto"/>
        </w:rPr>
        <w:t>In April 2025, the Company filed a petition for review in the U.S. Court of Appeals for the DC Circuit seeking review of the FDA’s final order refusing to hold a hearing or to approve the Company’s sNDA for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the treatment of insomnia associated with difficulties with sleep initiation. Under the FDCA, the FDA has an obligation to either approve an sNDA or to hold a hearing on the application’s approvability. The Company’s petition asks the DC Circuit to set aside the FDA’s order refusing to hold a hearing and refusing approval. The Company’s petition for review remains pending.</w:t>
      </w:r>
    </w:p>
    <w:p>
      <w:pPr>
        <w:spacing w:after="0" w:line="198"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In March 2026, the Company filed a petition for review in the U.S. Court of Appeals for the DC Circuit seeking review of the FDA’s final order refusing to hold a hearing or to approve the Company’s NDA for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in gastroparesis. Under the FDCA, the FDA has an obligation to either approve an sNDA or to hold a hearing on the application’s approvability. The Company’s petition asks the DC Circuit to set aside the FDA’s order refusing to hold a hearing and refusing approval. The Company’s petition for review remains pending.</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Vanda Pharmaceuticals Inc. (we, our, us or Vanda) is a leading global biopharmaceutical company focused on the development and commercialization of innovative therapies to address high unmet medical needs and improve the lives of patients.</w:t>
      </w:r>
    </w:p>
    <w:p>
      <w:pPr>
        <w:spacing w:after="0" w:line="162"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We strive to advance novel approaches to bring important new medicines to market through responsible innovation. We are committed to the use of technologies that support sound science, including genetics and genomics, in drug discovery, clinical trials and the commercial positioning of our products.</w:t>
      </w:r>
    </w:p>
    <w:p>
      <w:pPr>
        <w:spacing w:after="0" w:line="136" w:lineRule="exact"/>
        <w:rPr>
          <w:sz w:val="20"/>
          <w:szCs w:val="20"/>
          <w:color w:val="auto"/>
        </w:rPr>
      </w:pPr>
    </w:p>
    <w:p>
      <w:pPr>
        <w:ind w:right="40"/>
        <w:spacing w:after="0" w:line="214" w:lineRule="auto"/>
        <w:rPr>
          <w:sz w:val="20"/>
          <w:szCs w:val="20"/>
          <w:color w:val="auto"/>
        </w:rPr>
      </w:pPr>
      <w:r>
        <w:rPr>
          <w:rFonts w:ascii="Times New Roman" w:cs="Times New Roman" w:eastAsia="Times New Roman" w:hAnsi="Times New Roman"/>
          <w:sz w:val="18"/>
          <w:szCs w:val="18"/>
          <w:color w:val="auto"/>
        </w:rPr>
        <w:t>Our commercial portfolio is currently comprised of five products: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BYSANTI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the acute treatment of manic or mixed episodes associated with bipolar I disorder and the treatment of schizophrenia,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the treatment of Non-24-Hour Sleep-Wake Disorder (Non-24) and for the treatment of nighttime sleep disturbances in Smith-Magenis syndrome (SMS), 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the treatment of relapsing forms of multiple sclerosis (RMS) including clinically isolated syndrome, relapsing-remitting disease and active secondary progressive disease and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the prevention of vomiting induced by motion (collectively, our commercial products). In addition, we have a number of drugs and/or additional indications for current products in development, including:</w:t>
      </w:r>
    </w:p>
    <w:p>
      <w:pPr>
        <w:spacing w:after="0" w:line="9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(iloperidone) long acting injectable (LAI) formulation for the treatment of schizophrenia and hypertension;</w:t>
      </w:r>
    </w:p>
    <w:p>
      <w:pPr>
        <w:spacing w:after="0" w:line="5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BYSANTI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(milsaperidone) for major depressive disorder (MDD);</w:t>
      </w:r>
    </w:p>
    <w:p>
      <w:pPr>
        <w:spacing w:after="0" w:line="59" w:lineRule="exact"/>
        <w:rPr>
          <w:rFonts w:ascii="Times New Roman" w:cs="Times New Roman" w:eastAsia="Times New Roman" w:hAnsi="Times New Roman"/>
          <w:sz w:val="18"/>
          <w:szCs w:val="18"/>
          <w:color w:val="auto"/>
        </w:rPr>
      </w:pPr>
    </w:p>
    <w:p>
      <w:pPr>
        <w:ind w:left="660" w:right="220" w:hanging="328"/>
        <w:spacing w:after="0" w:line="23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(tasimelteon) for the treatment of jet lag disorder, insomnia, pediatric insomnia, delayed sleep phase disorder (DSPD) and pediatric Non-24;</w:t>
      </w:r>
    </w:p>
    <w:p>
      <w:pPr>
        <w:spacing w:after="0" w:line="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(ponesimod) for the treatment of ulcerative colitis and psoriasis;</w:t>
      </w:r>
    </w:p>
    <w:p>
      <w:pPr>
        <w:spacing w:after="0" w:line="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Imsidolimab, an IL-36R antagonist, for the treatment of generalized pustular psoriasis (GPP);</w:t>
      </w:r>
    </w:p>
    <w:p>
      <w:pPr>
        <w:spacing w:after="0" w:line="1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(tradipitant) for the prevention of vomiting induced by GLP-1 receptor agonists and the treatment of gastroparesis;</w:t>
      </w:r>
    </w:p>
    <w:p>
      <w:pPr>
        <w:spacing w:after="0" w:line="62"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VQW-765, a small molecule alpha-7 nicotinic acetylcholine receptor partial agonist, for the treatment of social/performance anxiety and psychiatric disorders;</w:t>
      </w:r>
    </w:p>
    <w:p>
      <w:pPr>
        <w:spacing w:after="0" w:line="5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of Cystic Fibrosis Transmembrane Conductance Regulator (CFTR) activators and inhibitors, including VSJ-110 for the treatment of dry eye and ocular inflammation and VPO-227 for the treatment of secretory diarrhea disorders, including cholera;</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VTR-297, a small molecule histone deacetylase (HDAC) inhibitor for the treatment of hematologic malignancies and onychomycosis and with potential use as a treatment for several oncology indications; and</w:t>
      </w:r>
    </w:p>
    <w:p>
      <w:pPr>
        <w:spacing w:after="0" w:line="53"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Antisense oligonucleotide (ASO) molecules, including VGA-157A for Parkinson’s disease, VCA-894A for the treatment of Charcot-Marie-Tooth Disease, Type 2S (CMT2S), caused by cryptic slice site variants within the IGHMBP2 gene and VGT-1849A for the treatment of polycythemia vera (PV), a form of a rare hematologic malignancy.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Commercial Highlights</w:t>
      </w:r>
    </w:p>
    <w:p>
      <w:pPr>
        <w:spacing w:after="0" w:line="118" w:lineRule="exact"/>
        <w:rPr>
          <w:sz w:val="20"/>
          <w:szCs w:val="20"/>
          <w:color w:val="auto"/>
        </w:rPr>
      </w:pPr>
    </w:p>
    <w:p>
      <w:pPr>
        <w:ind w:left="660" w:hanging="328"/>
        <w:spacing w:after="0" w:line="23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saw continued strong momentum with total prescriptions (TRx) up 32% and new-to-brand prescriptions (NBRx) up 76% versus Q1 2025. In April 2026, weekly TRx for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reached an 11-year high of over 2,600 prescriptions for the week ending April 24, 2026.</w:t>
      </w:r>
    </w:p>
    <w:p>
      <w:pPr>
        <w:spacing w:after="0" w:line="17" w:lineRule="exact"/>
        <w:rPr>
          <w:rFonts w:ascii="Times New Roman" w:cs="Times New Roman" w:eastAsia="Times New Roman" w:hAnsi="Times New Roman"/>
          <w:sz w:val="18"/>
          <w:szCs w:val="18"/>
          <w:color w:val="auto"/>
        </w:rPr>
      </w:pPr>
    </w:p>
    <w:p>
      <w:pPr>
        <w:ind w:left="660" w:hanging="328"/>
        <w:spacing w:after="0" w:line="243"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is now commercially available nationwide through nereus.us, our innovative direct-to-consumer platform. This pioneering, patient-centric model enables convenient ordering online with rapid, direct delivery, eliminating traditional pharmacy barriers and providing a seamless, modern access experience. As the first new prescription therapy approved for the prevention of vomiting induced by motion in adults in more than 40 years,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represents a breakthrough in both science and patient access.</w:t>
      </w: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Regulatory &amp; Clinical Development Highlights</w:t>
      </w:r>
    </w:p>
    <w:p>
      <w:pPr>
        <w:spacing w:after="0" w:line="118" w:lineRule="exact"/>
        <w:rPr>
          <w:sz w:val="20"/>
          <w:szCs w:val="20"/>
          <w:color w:val="auto"/>
        </w:rPr>
      </w:pPr>
    </w:p>
    <w:p>
      <w:pPr>
        <w:ind w:left="660" w:right="200" w:hanging="328"/>
        <w:spacing w:after="0" w:line="21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BYSANTI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(milsaperidone) received U.S. Food and Drug Administration (FDA) approval for the treatment of bipolar I disorder and schizophrenia. BYSANTI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is protected by data exclusivity through February 20, 2031 and multiple patents, the latest of which expires on May 31, 2044.</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late-stage clinical studies are progressing rapidly and are expected to generate topline results in 2026 or early 2027, including:</w:t>
      </w:r>
    </w:p>
    <w:p>
      <w:pPr>
        <w:spacing w:after="0" w:line="113" w:lineRule="exact"/>
        <w:rPr>
          <w:rFonts w:ascii="Times New Roman" w:cs="Times New Roman" w:eastAsia="Times New Roman" w:hAnsi="Times New Roman"/>
          <w:sz w:val="18"/>
          <w:szCs w:val="18"/>
          <w:color w:val="auto"/>
        </w:rPr>
      </w:pPr>
    </w:p>
    <w:p>
      <w:pPr>
        <w:ind w:left="1300" w:right="160" w:hanging="320"/>
        <w:spacing w:after="0" w:line="230" w:lineRule="auto"/>
        <w:tabs>
          <w:tab w:leader="none" w:pos="129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III study of BYSANTI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as a once-daily adjunctive treatment for major depressive disorder (MDD), with results expected in Q1 2027.</w:t>
      </w:r>
    </w:p>
    <w:p>
      <w:pPr>
        <w:spacing w:after="0" w:line="88" w:lineRule="exact"/>
        <w:rPr>
          <w:rFonts w:ascii="Times New Roman" w:cs="Times New Roman" w:eastAsia="Times New Roman" w:hAnsi="Times New Roman"/>
          <w:sz w:val="18"/>
          <w:szCs w:val="18"/>
          <w:color w:val="auto"/>
        </w:rPr>
      </w:pPr>
    </w:p>
    <w:p>
      <w:pPr>
        <w:ind w:left="1300" w:right="360" w:hanging="320"/>
        <w:spacing w:after="0" w:line="230" w:lineRule="auto"/>
        <w:tabs>
          <w:tab w:leader="none" w:pos="129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Thetis Phase III study of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the prevention of vomiting in patients receiving GLP-1 receptor agonist therapies, with results expected in 2026.</w:t>
      </w:r>
    </w:p>
    <w:p>
      <w:pPr>
        <w:spacing w:after="0" w:line="9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III study of VQW-765 in the treatment of adults with social anxiety disorder, with results expected by the end of 2026.</w:t>
      </w:r>
    </w:p>
    <w:p>
      <w:pPr>
        <w:spacing w:after="0" w:line="117"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accepted the Biologics License Application (BLA) for imsidolimab in Generalized Pustular Psoriasis (GPP) with a Prescription Drug User Fee Act (PDUFA) target action date of December 12, 2026. The results of the pivotal clinical study were published in the April 28, 2026 issue of the New England Journal of Medicine (NEJM) Evidence.</w:t>
      </w:r>
    </w:p>
    <w:p>
      <w:pPr>
        <w:spacing w:after="0" w:line="17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 xml:space="preserve">Since we began operations, we have devoted substantially all of our resources to the in-licensing, clinical development and commercialization of our products. Our ability to generate meaningful product sales and achieve profitability largely depends on our level of success in commercializing our commercial products, on our ability, alone or with others, to complete the development of our products and to obtain the regulatory approvals for and manufacture, market and sell our products. The results of our operations will vary significantly from year-to-year and quarter-to-quarter and depend on a number of factors, including risks related to our business, risks related to our industry, and other risks that are detailed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annual report on Form 10-K (Annual Report) for the year ended December 31, 2025 and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any Quarterly Report filed subsequent to our Annual Report.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requires us to make estimates and assumptions that affect the reported amounts of assets and liabilities and the disclosure of contingent assets and liabilities at the date of our financial statements, as well as the reported revenues and expenses during the reported periods. We base our estimates on historical experience and on various other factors that we believe are reasonable under the circumstances, the results of which form the basis for making judgments about the carrying value of assets and liabilities that are not apparent from other sources. Actual results may differ from these estimates under different assumptions or conditions.</w:t>
      </w:r>
    </w:p>
    <w:p>
      <w:pPr>
        <w:spacing w:after="0" w:line="18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There have been no significant changes in our critical accounting policies including estimates, assumptions and judgments from those described in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included in the Annual Report. A summary of our significant accounting policies appears in the notes to our audited consolidated financial statements included in the Annual Report. However, we believe that the following accounting policies are important to understanding and evaluating our reported financial results as they involve the most significant judgments and estimates used in the preparation of our condensed consolidated financial statements, and we have accordingly included them in this discussion.</w:t>
      </w:r>
    </w:p>
    <w:p>
      <w:pPr>
        <w:spacing w:after="0" w:line="18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Revenue from net product sales</w:t>
      </w:r>
      <w:r>
        <w:rPr>
          <w:rFonts w:ascii="Times New Roman" w:cs="Times New Roman" w:eastAsia="Times New Roman" w:hAnsi="Times New Roman"/>
          <w:sz w:val="18"/>
          <w:szCs w:val="18"/>
          <w:color w:val="auto"/>
        </w:rPr>
        <w:t>. We account for a contract when it has approval and commitment from both parties, the rights of the parties are identified,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terms are identified, the contract has commercial substance and collectability of consideration is probable. We recognize revenue when control of the product is transferred to the customer in an amount that reflects the consideration we expect to be entitled to in exchange for those product sales, which is typically once the product physically arrives at the customer. Sales taxes, value-added taxes and usage-based taxes are excluded from revenues.</w:t>
      </w:r>
    </w:p>
    <w:p>
      <w:pPr>
        <w:spacing w:after="0" w:line="178"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available in the U.S. for distribution through a limited number of wholesalers and is available in retail pharmacies.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available in the U.S. for distribution through a limited number of specialty pharmacies and is not available in retail pharmacies. 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available in the U.S. for distribution primarily through a limited number of specialty distributors and specialty pharmacies. We invoice and record revenue when our customers, wholesalers, specialty pharmacies and specialty distributors, receive product from the third-party logistics warehouse, which is the point at which control is transferred to the customer. Revenues and accounts receivable are concentrated with these customers. Outside the U.S., we have a distribution agreement for the commercialization of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Israel and sell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Germany. Receivables are carried at transaction price paid by the wholesalers, specialty pharmacies and specialty distributors, net of estimated prompt-pay</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discounts and allowance for credit losses. Payment terms differ by customer, but are based on customary commercial terms and typically range between thirty and sixty days. Allowance for credit losses is measured using historical loss rates based on the aging of receivables and incorporating current conditions and forward-looking estimates.</w:t>
      </w:r>
    </w:p>
    <w:p>
      <w:pPr>
        <w:spacing w:after="0" w:line="17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The transaction price is determined based upon the consideration to which we will be entitled in exchange for transferring product to the customer. Our product sales are recorded net of applicable product revenue allowances for which reserves are established and include discounts, rebates, chargebacks, service fees, co-pay assistance and product returns that are applicable for various government and commercial payors. Where appropriate, our estimates of variable consideration included in the transaction price consider a range of possible outcomes. Allowances for rebates, chargebacks and co-pay assistance are based upon the insurance benefits of the end customer, which are estimated using historical activity and, where available, actual and pending prescriptions for which we have validated the insurance benefits. Variable consideration may be constrained and is included in the transaction price if, in our judgment, it is probable that a significant future reversal of cumulative revenue under the contract will not occur. Overall, these reserves reflect our best estimates of the amount of consideration to which we are entitled based on the terms of the respective underlying contracts. If actual results in the future vary from our estimates, we adjust our estimate in the period identified, which would affect net product sales in the period such variances become known.</w:t>
      </w:r>
    </w:p>
    <w:p>
      <w:pPr>
        <w:spacing w:after="0" w:line="17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Reserves for variable consideration are classified as product revenue allowances on the Condensed Consolidated Balance Sheets, with the exception of prompt-pay discounts, which are classified as reductions of accounts receivable. The reserve for product returns for which the product may not be returned for a period of greater than one year from the balance sheet date is included as a component of other non-current liabilities in the Condensed Consolidated Balance Sheets. Uncertainties related to variable consideration are generally resolved in the quarter subsequent to period end, with the exception of Medicaid rebates, which are dependent upon the timing of when states submit reimbursement claims, Medicare inflationary rebates, which are billed on an annual basis beginning in 2025, and product returns that are resolved during the product expiry period specified in the customer contract. Furthermore, inventory stocking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at specialty pharmacy customers since the entrance of generic competition in early 2023 has resulted in longer periods to resolve these uncertainties related to variable consideration. We currently record sales allowances for the following:</w:t>
      </w:r>
    </w:p>
    <w:p>
      <w:pPr>
        <w:spacing w:after="0" w:line="85" w:lineRule="exact"/>
        <w:rPr>
          <w:sz w:val="20"/>
          <w:szCs w:val="20"/>
          <w:color w:val="auto"/>
        </w:rPr>
      </w:pPr>
    </w:p>
    <w:p>
      <w:pPr>
        <w:ind w:left="660" w:right="160" w:hanging="328"/>
        <w:spacing w:after="0" w:line="267"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Prompt-pay: </w:t>
      </w:r>
      <w:r>
        <w:rPr>
          <w:rFonts w:ascii="Times New Roman" w:cs="Times New Roman" w:eastAsia="Times New Roman" w:hAnsi="Times New Roman"/>
          <w:sz w:val="18"/>
          <w:szCs w:val="18"/>
          <w:color w:val="auto"/>
        </w:rPr>
        <w:t>Wholesalers, specialty pharmacies and specialty distributors, our direct customers, are generally offered discounts for prompt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We expect that these direct customers will earn prompt payment discounts and, therefore, we deduct the full amount of these discounts from total product sales when revenues are recognized.</w:t>
      </w:r>
    </w:p>
    <w:p>
      <w:pPr>
        <w:spacing w:after="0" w:line="65" w:lineRule="exact"/>
        <w:rPr>
          <w:rFonts w:ascii="Times New Roman" w:cs="Times New Roman" w:eastAsia="Times New Roman" w:hAnsi="Times New Roman"/>
          <w:sz w:val="18"/>
          <w:szCs w:val="18"/>
          <w:i w:val="1"/>
          <w:iCs w:val="1"/>
          <w:color w:val="auto"/>
        </w:rPr>
      </w:pPr>
    </w:p>
    <w:p>
      <w:pPr>
        <w:ind w:left="660" w:right="2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Rebates: </w:t>
      </w:r>
      <w:r>
        <w:rPr>
          <w:rFonts w:ascii="Times New Roman" w:cs="Times New Roman" w:eastAsia="Times New Roman" w:hAnsi="Times New Roman"/>
          <w:sz w:val="18"/>
          <w:szCs w:val="18"/>
          <w:color w:val="auto"/>
        </w:rPr>
        <w:t>Allowances for rebates include mandated discounts under the Medicaid Drug Rebate Program as well as contracted rebate programs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payors, including the Medicare Part D inflationary rebate. Rebate amounts owed after the final dispensing of the product to a benefit plan participant are based upon contractual agreements or legal requirements with public sector benefit providers, such as Medicaid and Medicare. The allowances for rebates are based on statutory or contracted discount rates and estimated patient utilization.</w:t>
      </w:r>
    </w:p>
    <w:p>
      <w:pPr>
        <w:spacing w:after="0" w:line="71" w:lineRule="exact"/>
        <w:rPr>
          <w:rFonts w:ascii="Times New Roman" w:cs="Times New Roman" w:eastAsia="Times New Roman" w:hAnsi="Times New Roman"/>
          <w:sz w:val="18"/>
          <w:szCs w:val="18"/>
          <w:color w:val="auto"/>
        </w:rPr>
      </w:pPr>
    </w:p>
    <w:p>
      <w:pPr>
        <w:ind w:left="660" w:right="80" w:hanging="328"/>
        <w:spacing w:after="0" w:line="277" w:lineRule="auto"/>
        <w:tabs>
          <w:tab w:leader="none" w:pos="655"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Chargebacks: </w:t>
      </w:r>
      <w:r>
        <w:rPr>
          <w:rFonts w:ascii="Times New Roman" w:cs="Times New Roman" w:eastAsia="Times New Roman" w:hAnsi="Times New Roman"/>
          <w:sz w:val="17"/>
          <w:szCs w:val="17"/>
          <w:color w:val="auto"/>
        </w:rPr>
        <w:t>Chargebacks are discounts that occur when contracted indirect customers purchase directly from wholesalers, specialty pharmacies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specialty distributors. Contracted indirect customers, which currently consist primarily of Public Health Service institutions and federal government entities purchasing via the Federal Supply Schedule, generally purchase the product at a discounted price. The wholesaler, specialty pharmacy or specialty distributor, in turn, charges back the difference between the price initially paid by the wholesaler, specialty pharmacy or specialty distributor and the discounted price paid to the wholesaler, specialty pharmacy or specialty distributor by the contracted customer.</w:t>
      </w:r>
    </w:p>
    <w:p>
      <w:pPr>
        <w:spacing w:after="0" w:line="59" w:lineRule="exact"/>
        <w:rPr>
          <w:rFonts w:ascii="Times New Roman" w:cs="Times New Roman" w:eastAsia="Times New Roman" w:hAnsi="Times New Roman"/>
          <w:sz w:val="17"/>
          <w:szCs w:val="17"/>
          <w:i w:val="1"/>
          <w:iCs w:val="1"/>
          <w:color w:val="auto"/>
        </w:rPr>
      </w:pPr>
    </w:p>
    <w:p>
      <w:pPr>
        <w:ind w:left="660" w:right="80" w:hanging="328"/>
        <w:spacing w:after="0" w:line="270" w:lineRule="auto"/>
        <w:tabs>
          <w:tab w:leader="none" w:pos="65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Medicare Part D rebates: </w:t>
      </w:r>
      <w:r>
        <w:rPr>
          <w:rFonts w:ascii="Times New Roman" w:cs="Times New Roman" w:eastAsia="Times New Roman" w:hAnsi="Times New Roman"/>
          <w:sz w:val="17"/>
          <w:szCs w:val="17"/>
          <w:color w:val="auto"/>
        </w:rPr>
        <w:t>Prior to January 1, 2025, the Medicare Part D prescription drug benefit required manufacturers to fund approximately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70% of the Medicare Part D insurance coverage gap for prescription drugs sold to eligible patients for applicable drugs. We accounted for the Medicare Part D coverage gap using a point of sale model. Beginning January 1, 2025, the Medicare Part D coverage gap discount program was replaced with a new discounting program under the Inflation Reduction Act of 2022. The Medicare Part D benefit redesign has resulted in overall higher discounts for our Medicare payor segment relative to the previous Medicare Part D prescription drug coverage gap discount program. Under the redesigned Medicare Part D program, applicable drugs dispensed to applicable beneficiaries are subject to manufacturer discounts of 10% during the initial coverage phase and 20% during the catastrophic coverage phase. Under the Medicare Part D benefit redesign, we are a specified manufacturer whose applicable drugs for applicable beneficiaries who are Low Income Subsidy eligible under section 1860D-14(a) of the Social Security Act are subject to lower applicable discounts during the phase-in period. Estimates for expected Medicare Part D rebates are based, in part, on historical activity and, where available, actual and pending prescriptions when we have validated the insurance benefits.</w:t>
      </w:r>
    </w:p>
    <w:p>
      <w:pPr>
        <w:spacing w:after="0" w:line="68" w:lineRule="exact"/>
        <w:rPr>
          <w:rFonts w:ascii="Times New Roman" w:cs="Times New Roman" w:eastAsia="Times New Roman" w:hAnsi="Times New Roman"/>
          <w:sz w:val="17"/>
          <w:szCs w:val="17"/>
          <w:color w:val="auto"/>
        </w:rPr>
      </w:pPr>
    </w:p>
    <w:p>
      <w:pPr>
        <w:ind w:left="660" w:right="320" w:hanging="328"/>
        <w:spacing w:after="0" w:line="284"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Service fees: </w:t>
      </w:r>
      <w:r>
        <w:rPr>
          <w:rFonts w:ascii="Times New Roman" w:cs="Times New Roman" w:eastAsia="Times New Roman" w:hAnsi="Times New Roman"/>
          <w:sz w:val="18"/>
          <w:szCs w:val="18"/>
          <w:color w:val="auto"/>
        </w:rPr>
        <w:t>We receive sales order management, data and distribution services from certain customers, for which we are assessed fees.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are based on contracted terms and are known amounts. We accrue service fees at the time</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right="360"/>
        <w:spacing w:after="0" w:line="266" w:lineRule="auto"/>
        <w:rPr>
          <w:sz w:val="20"/>
          <w:szCs w:val="20"/>
          <w:color w:val="auto"/>
        </w:rPr>
      </w:pPr>
      <w:r>
        <w:rPr>
          <w:rFonts w:ascii="Times New Roman" w:cs="Times New Roman" w:eastAsia="Times New Roman" w:hAnsi="Times New Roman"/>
          <w:sz w:val="18"/>
          <w:szCs w:val="18"/>
          <w:color w:val="auto"/>
        </w:rPr>
        <w:t>of revenue recognition, resulting in a reduction of product sales and the recognition of an accrued liability, unless it is a payment for a distinct good or service from the customer in which case the fair value of those distinct goods or services are recorded as selling, general and administrative expense.</w:t>
      </w:r>
    </w:p>
    <w:p>
      <w:pPr>
        <w:spacing w:after="0" w:line="66" w:lineRule="exact"/>
        <w:rPr>
          <w:sz w:val="20"/>
          <w:szCs w:val="20"/>
          <w:color w:val="auto"/>
        </w:rPr>
      </w:pPr>
    </w:p>
    <w:p>
      <w:pPr>
        <w:ind w:left="660" w:right="420" w:hanging="328"/>
        <w:spacing w:after="0" w:line="284"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Co-pay assistance: </w:t>
      </w:r>
      <w:r>
        <w:rPr>
          <w:rFonts w:ascii="Times New Roman" w:cs="Times New Roman" w:eastAsia="Times New Roman" w:hAnsi="Times New Roman"/>
          <w:sz w:val="18"/>
          <w:szCs w:val="18"/>
          <w:color w:val="auto"/>
        </w:rPr>
        <w:t>Patients who have commercial insurance and meet certain eligibility requirements may receive co-pay assistance. Co-pay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assistance utilization is based on information provided by our third-party administrator.</w:t>
      </w:r>
    </w:p>
    <w:p>
      <w:pPr>
        <w:spacing w:after="0" w:line="50" w:lineRule="exact"/>
        <w:rPr>
          <w:rFonts w:ascii="Times New Roman" w:cs="Times New Roman" w:eastAsia="Times New Roman" w:hAnsi="Times New Roman"/>
          <w:sz w:val="18"/>
          <w:szCs w:val="18"/>
          <w:i w:val="1"/>
          <w:iCs w:val="1"/>
          <w:color w:val="auto"/>
        </w:rPr>
      </w:pPr>
    </w:p>
    <w:p>
      <w:pPr>
        <w:ind w:left="660" w:right="40" w:hanging="328"/>
        <w:spacing w:after="0" w:line="258"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We generally offer direct customers a limited right to return, as contractually defined with our customers. We consider several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factors in the estimation process, including expiration dates of product shipped to customers, inventory levels within the distribution channel, product shelf life, historical return activity, including activity for product sold for which the return period has passed, prescription trends and other relevant factors. We do not expect returned products to be resalable. There was no right of return asset as of March 31, 2026 or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sales discounts and allowance activity as of and for the three months ended March 31, 2026: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3"/>
                <w:szCs w:val="13"/>
                <w:color w:val="auto"/>
              </w:rPr>
            </w:pPr>
          </w:p>
        </w:tc>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Rebates &amp; Chargebacks</w:t>
            </w:r>
          </w:p>
        </w:tc>
        <w:tc>
          <w:tcPr>
            <w:tcW w:w="200" w:type="dxa"/>
            <w:vAlign w:val="bottom"/>
          </w:tcPr>
          <w:p>
            <w:pPr>
              <w:spacing w:after="0"/>
              <w:rPr>
                <w:sz w:val="13"/>
                <w:szCs w:val="13"/>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400" w:type="dxa"/>
            <w:vAlign w:val="bottom"/>
          </w:tcPr>
          <w:p>
            <w:pPr>
              <w:spacing w:after="0"/>
              <w:rPr>
                <w:sz w:val="13"/>
                <w:szCs w:val="13"/>
                <w:color w:val="auto"/>
              </w:rPr>
            </w:pPr>
          </w:p>
        </w:tc>
        <w:tc>
          <w:tcPr>
            <w:tcW w:w="1320" w:type="dxa"/>
            <w:vAlign w:val="bottom"/>
            <w:vMerge w:val="restart"/>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Returns and Other</w:t>
            </w:r>
          </w:p>
        </w:tc>
        <w:tc>
          <w:tcPr>
            <w:tcW w:w="4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14,709</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78,065</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39,873</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for prior period sales</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Credits/payments made</w:t>
            </w: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(42,757)</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76,641</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provision of $28.5 million for rebates and chargebacks for the three months ended March 31, 2026 and its ending balance at March 31, 2026 primarily represent Medicaid rebates. The provision of $11.3 million for discounts, returns and other for the three months ended March 31, 2026 and its ending balance at March 31, 2026 primarily represents service fees, estimated product returns, co-pay assistance costs and prompt-pay discounts.</w:t>
      </w:r>
    </w:p>
    <w:p>
      <w:pPr>
        <w:spacing w:after="0" w:line="17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Compensation costs for all stock-based awards to employees and directors are measured based on the grant date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awards and recognized over the period during which the employee or director is required to perform service in exchange for the award. We use the Black-Scholes-Merton option pricing model to determine the fair value of stock options. We use the Monte Carlo model to determine the fair value of performance restricted share units (PSUs). The determination of the fair value of stock options and PSUs on the date of grant using a valuation model is affected by our stock price as well as assumptions regarding a number of complex and subjective variables. These variables include the expected stock price volatility over the expected term (stock options) or remaining performance period (PSUs) of the awards, actual and projected employee stock option exercise behaviors, risk-free interest rate and expected dividends. Expected volatility rates are based on the historical volatility of our publicly traded common stock and other factors. The risk-free interest rates are based on the U.S. Treasury yield for a period consistent with the expected term of the option in effect at the time of the grant. We have never paid cash dividends to our stockholders and do not plan to pay dividends in the foreseeable future. As stock-based compensation expense recognized in the Condensed Consolidated Statements of Operations is based on awards ultimately expected to vest, it has been reduced for estimated forfeitures. Forfeitures are estimated at the time of grant and revised, if necessary, in subsequent periods if actual forfeitures differ from those estimates.</w:t>
      </w:r>
    </w:p>
    <w:p>
      <w:pPr>
        <w:spacing w:after="0" w:line="1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Research and development expenses consist primarily of fees for services provided by third parties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clinical trials, costs of contract manufacturing services for clinical trial use, milestone payments made under licensing agreements prior to regulatory approval, costs of materials used in clinical trials and research and development, costs for regulatory consultants and filings, depreciation of capital resources used to develop products, related facilities costs, and salaries, other employee-related costs and stock-based compensation for research and development personnel. We generally expense research and development costs as they are incurred for products in the development stage, including manufacturing costs and milestone payments made under license agreements prior to FDA approval. Upon and subsequent to FDA approval, manufacturing and milestone payments made under license agreements are capitalized. Milestone payments are accrued when it is deemed probable that the milestone event will be achieved. Costs related to the acquisition of intellectual property are expensed as incurred if the underlying technology is developed in connection with our research and development efforts and has no alternative future use.</w:t>
      </w:r>
    </w:p>
    <w:p>
      <w:pPr>
        <w:spacing w:after="0" w:line="190"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Clinical trials are inherently complex, often involve multiple service providers and can include payments made to investigator physicians at study sites. Because billing for services often lags delivery of service by a substantial amount of time, we are often required to estimate a significant portion of our accrued clinical expenses. Our assessments include, but are not limited to: (i) an evaluation by the project manager of the work that has been completed during the period, (ii) measurement of progress prepared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internally and/or provided by the third-party service provider, (iii) analyses of data that justify the progress, and (iv) management’s judgment. In the event that we do not identify certain costs that have begun to be incurred or we under- or over-estimate the level of services performed or the costs of such services, our reported expenses for such period would be too low or too high.</w:t>
      </w:r>
    </w:p>
    <w:p>
      <w:pPr>
        <w:spacing w:after="0" w:line="17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Intangible assets and impairment of long-lived assets</w:t>
      </w:r>
      <w:r>
        <w:rPr>
          <w:rFonts w:ascii="Times New Roman" w:cs="Times New Roman" w:eastAsia="Times New Roman" w:hAnsi="Times New Roman"/>
          <w:sz w:val="18"/>
          <w:szCs w:val="18"/>
          <w:color w:val="auto"/>
        </w:rPr>
        <w:t>. Our intangible assets consist of capitalized license costs for products approved by the FDA or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acquire already commercialized products. We amortize our intangible assets on a straight-line basis over the estimated useful economic life of the related product patents. We assess the impairment of intangible assets whenever events or changes in circumstances indicate that the carrying value may not be recoverable. Factors we consider important that could trigger an impairment review include significant underperformance relative to expected historical or projected future operating results, a significant adverse change in legal or regulatory factors that could affect the value or patent life, including our ability to defend and enforce patent claims and other intellectual property rights, and significant negative industry or economic trends. When we determine that the carrying value of our intangible assets may not be recoverable based upon the existence of one or more of the indicators of impairment, we measure any impairment based on the amount that carrying value exceeds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assess the need for a valuation allowance against our deferred tax assets each quarter through the review of all available positive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negative evidence. Deferred tax assets are reduced by a valuation allowance when, in the opinion of management, it is more likely than not that some portion of the deferred tax assets will not be realized. The analysis is highly dependent upon historical and projected pretax income. Projected pretax income includes significant assumptions related to revenue, which could be affected by the success of the commercial launches of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bipolar I disorder, 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RMS,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in the prevention of vomiting induced by motion and BYSANTI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the acute treatment of manic or mixed episodes associated with bipolar I disorder and for the treatment of schizophrenia, which was approved on February 20, 2026, and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generic competition, as well as commercial and research and development activities, including spend on our commercial launches and late-stage clinical activities and our ability to obtain regulatory approval from the FDA for products or new indications in development, among other factors. After considering all available positive and negative evidence, including but not limited to historical, current and future projected results and significant risks and uncertainties related to forecasts, we have concluded that it is not more likely than not that substantially all of our deferred tax assets are realizable in future periods and maintained a valuation allowance against all net deferred tax assets as of March 31, 2026 and December 31, 2025. The valuation allowance was recorded in the fourth quarter of 2025, resulting in a non-cash income tax expense of $113.7 million for the year ended December 31, 2025. If we have cumulative pretax income in future periods and if our projections indicate pretax income in future periods or if there are meaningful changes to our business operations, the conclusion about the appropriateness of the valuation allowance could change in a future period. A future reduction of the valuation allowance, in whole or in part, would result in a non-cash income tax benefit during the period of reduction. The potential timing and amount of any future valuation allowance release has yet to be determined and requires an analysis that is highly dependent upon historical and future projected earnings, among other factors. Any such adjustment could have a material impact on our financial position and results of operations.</w:t>
      </w:r>
    </w:p>
    <w:p>
      <w:pPr>
        <w:spacing w:after="0" w:line="19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Tax benefits are recognized from an uncertain tax position only if it is more likely than not that the tax position will be sustained on examination by the taxing authorities based on the technical merits of the position. The tax benefit recognized in the financial statements for a particular tax position is based on the largest benefit that is more likely than not to be realized upon settlement.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to the condensed consolidated financial statements included in Part I of this Quarterly Report for information on recent accounting pronouncements.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We anticipate that our results of operations will fluctuate for the foreseeable future due to several factors, including our and our partners’ ability to continue to successfully commercialize our products, including the ongoing commercial launch of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the prevention of vomiting induced by motion, which was approved in December 2025 and became commercially available in the U.S. on May 1, 2026, and the upcoming launch of BYSANTI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the acute treatment of manic or mixed episodes associated with bipolar I disorder and for the treatment of schizophrenia, which was approved on February 20, 2026, the impact of regulatory changes to the pharmaceutical industry such as the Medicare Part D provisions of the Inflation Reduction Act of 2022, any possible payments made or received pursuant to license agreements, progress of our research and development efforts, the timing and outcome of clinical trials and related possible regulatory approvals and the status of existing and future potential litigation involving our products and intellectual property. See Note 14, </w:t>
      </w:r>
      <w:r>
        <w:rPr>
          <w:rFonts w:ascii="Times New Roman" w:cs="Times New Roman" w:eastAsia="Times New Roman" w:hAnsi="Times New Roman"/>
          <w:sz w:val="18"/>
          <w:szCs w:val="18"/>
          <w:i w:val="1"/>
          <w:iCs w:val="1"/>
          <w:color w:val="auto"/>
        </w:rPr>
        <w:t>Legal Matters</w:t>
      </w:r>
      <w:r>
        <w:rPr>
          <w:rFonts w:ascii="Times New Roman" w:cs="Times New Roman" w:eastAsia="Times New Roman" w:hAnsi="Times New Roman"/>
          <w:sz w:val="18"/>
          <w:szCs w:val="18"/>
          <w:color w:val="auto"/>
        </w:rPr>
        <w:t>, to</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condensed consolidated financial statements included in Part I of this Quarterly Report for information on material legal matters.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compared to three months ended March 31, 2025</w:t>
      </w:r>
    </w:p>
    <w:p>
      <w:pPr>
        <w:spacing w:after="0" w:line="119"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Total revenues increased by $1.7 million, or 3%, to $51.7 million for the three months ended March 31, 2026 compared to $50.0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2025. Revenue from net product sales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1"/>
                <w:szCs w:val="11"/>
                <w:color w:val="auto"/>
              </w:rPr>
            </w:pPr>
          </w:p>
        </w:tc>
        <w:tc>
          <w:tcPr>
            <w:tcW w:w="126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1"/>
                <w:szCs w:val="11"/>
                <w:color w:val="auto"/>
              </w:rPr>
            </w:pPr>
          </w:p>
        </w:tc>
        <w:tc>
          <w:tcPr>
            <w:tcW w:w="12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1"/>
                <w:szCs w:val="11"/>
                <w:color w:val="auto"/>
              </w:rPr>
            </w:pPr>
          </w:p>
        </w:tc>
        <w:tc>
          <w:tcPr>
            <w:tcW w:w="124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54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4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96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6,015</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product sales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51,718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50,041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color w:val="auto"/>
        </w:rPr>
        <w:t>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increased by $6.0 million, or 26%, to $29.6 million for the three months ended March 31, 2026 compared to $23.5 million for the three months ended March 31, 2025. The increase to net product sales was primarily attributable to an increase in volume, partially offset by a decrease in price, net of deductions. An amount of variable consideration related to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is subject to dispute, of which approximately $3.0 million was recognized for the three months ended December 31, 2025.</w:t>
      </w:r>
    </w:p>
    <w:p>
      <w:pPr>
        <w:spacing w:after="0" w:line="105" w:lineRule="exact"/>
        <w:rPr>
          <w:sz w:val="20"/>
          <w:szCs w:val="20"/>
          <w:color w:val="auto"/>
        </w:rPr>
      </w:pPr>
    </w:p>
    <w:p>
      <w:pPr>
        <w:ind w:right="220"/>
        <w:spacing w:after="0" w:line="218" w:lineRule="auto"/>
        <w:rPr>
          <w:sz w:val="20"/>
          <w:szCs w:val="20"/>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decreased by $4.9 million, or 24%, to $15.9 million for the three months ended March 31, 2026 compared to $20.9 million for the three months ended March 31, 2025. The decrease to net product sales was attributable to a decrease in volume. Since the entrance of generic competition in the first quarter of 2023,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dispenses have decreased. Additionally, inventory levels at our specialty pharmacy customers have been elevated relative to inventory levels prior to the entrance of generic competition. The elevated levels of inventory have resulted in longer periods to resolve uncertainties related to variable consideration.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have been and may continue to fluctuate from quarter to quarter depending on when specialty pharmacy customers purchase again.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may decline in future periods, potentially significantly, related to continued generic competition in the U.S.</w:t>
      </w:r>
    </w:p>
    <w:p>
      <w:pPr>
        <w:spacing w:after="0" w:line="203" w:lineRule="exact"/>
        <w:rPr>
          <w:sz w:val="20"/>
          <w:szCs w:val="20"/>
          <w:color w:val="auto"/>
        </w:rPr>
      </w:pPr>
    </w:p>
    <w:p>
      <w:pPr>
        <w:ind w:right="80"/>
        <w:spacing w:after="0" w:line="217" w:lineRule="auto"/>
        <w:rPr>
          <w:sz w:val="20"/>
          <w:szCs w:val="20"/>
          <w:color w:val="auto"/>
        </w:rPr>
      </w:pPr>
      <w:r>
        <w:rPr>
          <w:rFonts w:ascii="Times New Roman" w:cs="Times New Roman" w:eastAsia="Times New Roman" w:hAnsi="Times New Roman"/>
          <w:sz w:val="18"/>
          <w:szCs w:val="18"/>
          <w:color w:val="auto"/>
        </w:rPr>
        <w:t>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increased by $0.6 million, or 10%, to $6.2 million for the three months ended March 31, 2026 compared to $5.6 million for the three months ended March 31, 2025. An amount of variable consideration related to 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is subject to dispute, of which approximately $3.0 million was recognized for the three months ended December 31, 2024.</w:t>
      </w:r>
    </w:p>
    <w:p>
      <w:pPr>
        <w:spacing w:after="0" w:line="197" w:lineRule="exact"/>
        <w:rPr>
          <w:sz w:val="20"/>
          <w:szCs w:val="20"/>
          <w:color w:val="auto"/>
        </w:rPr>
      </w:pPr>
    </w:p>
    <w:p>
      <w:pPr>
        <w:ind w:right="120"/>
        <w:spacing w:after="0" w:line="222"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decreased by $0.4 million, or 10%, to $3.2 million for the three months ended March 31, 2026 compared to $3.5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March 31, 2025. Cost of goods sold includes third-party manufacturing costs of product sold, third-party royalty costs and distribution and other costs. Third-party royalty costs were 6% of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and 5%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in Germany. Third-party royalty costs on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in the U.S. decreased from 10% to 5% in December 2022 and ended in April 2024. Third-party royalty costs on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in Germany will end in October 2026 and third-party royalty costs on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in the U.S. will end in November 2026. There are no third-party royalty costs on net sales of 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Third-party royalty costs on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net product sales in the U.S. are tiered, up to the low double digits, and began with the U.S. commercial launch of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on May 1, 2026</w:t>
      </w:r>
      <w:r>
        <w:rPr>
          <w:rFonts w:ascii="Times New Roman" w:cs="Times New Roman" w:eastAsia="Times New Roman" w:hAnsi="Times New Roman"/>
          <w:sz w:val="18"/>
          <w:szCs w:val="18"/>
          <w:color w:val="auto"/>
        </w:rPr>
        <w:t>. We evaluate the risk of excess inventory and product expiry by evaluating current and future product demand relative to product shelf life and build demand forecasts by considering factors such as, but not limited to, overall market potential, market share, market acceptance, patient usage, and generic competition. Our inventory balance consisted of $7.5 million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and $3.0 million of other products as of March 31, 2026. Our inventory balance consisted of $7.8 million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and $3.2 million of other products as of December 31, 2025.</w:t>
      </w:r>
    </w:p>
    <w:p>
      <w:pPr>
        <w:spacing w:after="0" w:line="114"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decreased by $7.3 million, or 20%, to $28.4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2026 compared to $35.7 million for the three months ended March 31, 2025. The decrease was primarily due to lower expenses on our</w:t>
      </w:r>
    </w:p>
    <w:p>
      <w:pPr>
        <w:spacing w:after="0"/>
        <w:rPr>
          <w:sz w:val="20"/>
          <w:szCs w:val="20"/>
          <w:color w:val="auto"/>
        </w:rPr>
      </w:pPr>
      <w:r>
        <w:rPr>
          <w:rFonts w:ascii="Times New Roman" w:cs="Times New Roman" w:eastAsia="Times New Roman" w:hAnsi="Times New Roman"/>
          <w:sz w:val="18"/>
          <w:szCs w:val="18"/>
          <w:color w:val="auto"/>
        </w:rPr>
        <w:t xml:space="preserve">imsidolimab program, partially offset by an increase in expenses for our VQW-765 and </w:t>
      </w:r>
      <w:r>
        <w:rPr>
          <w:rFonts w:ascii="Times New Roman" w:cs="Times New Roman" w:eastAsia="Times New Roman" w:hAnsi="Times New Roman"/>
          <w:sz w:val="17"/>
          <w:szCs w:val="17"/>
          <w:color w:val="auto"/>
        </w:rPr>
        <w:t>various of our other</w:t>
      </w:r>
      <w:r>
        <w:rPr>
          <w:rFonts w:ascii="Times New Roman" w:cs="Times New Roman" w:eastAsia="Times New Roman" w:hAnsi="Times New Roman"/>
          <w:sz w:val="18"/>
          <w:szCs w:val="18"/>
          <w:color w:val="auto"/>
        </w:rPr>
        <w:t xml:space="preserve"> development programs. The three months</w:t>
      </w:r>
    </w:p>
    <w:p>
      <w:pPr>
        <w:spacing w:after="0" w:line="6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ended March 31, 2025 included an upfront payment to AnaptysBio, Inc. for the exclusive, global license to develop, manufacture, and commercialize imsidolimab and drug supply.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costs of our product development initiatives for the three months ended March 31, 2026 and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1"/>
                <w:szCs w:val="11"/>
                <w:color w:val="auto"/>
              </w:rPr>
            </w:pPr>
          </w:p>
        </w:tc>
        <w:tc>
          <w:tcPr>
            <w:tcW w:w="136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1"/>
                <w:szCs w:val="11"/>
                <w:color w:val="auto"/>
              </w:rPr>
            </w:pPr>
          </w:p>
        </w:tc>
        <w:tc>
          <w:tcPr>
            <w:tcW w:w="1240" w:type="dxa"/>
            <w:vAlign w:val="bottom"/>
          </w:tcPr>
          <w:p>
            <w:pPr>
              <w:jc w:val="right"/>
              <w:ind w:right="352"/>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80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project costs (1)</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Fanapt</w:t>
            </w:r>
            <w:r>
              <w:rPr>
                <w:rFonts w:ascii="Times New Roman" w:cs="Times New Roman" w:eastAsia="Times New Roman" w:hAnsi="Times New Roman"/>
                <w:sz w:val="10"/>
                <w:szCs w:val="10"/>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BYSANTI</w:t>
            </w:r>
            <w:r>
              <w:rPr>
                <w:rFonts w:ascii="Times New Roman" w:cs="Times New Roman" w:eastAsia="Times New Roman" w:hAnsi="Times New Roman"/>
                <w:sz w:val="23"/>
                <w:szCs w:val="23"/>
                <w:color w:val="auto"/>
                <w:vertAlign w:val="superscript"/>
              </w:rPr>
              <w:t>TM</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0" w:type="dxa"/>
            <w:vAlign w:val="bottom"/>
          </w:tcPr>
          <w:p>
            <w:pPr>
              <w:spacing w:after="0"/>
              <w:rPr>
                <w:sz w:val="1"/>
                <w:szCs w:val="1"/>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10"/>
                <w:szCs w:val="10"/>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PONVORY</w:t>
            </w:r>
            <w:r>
              <w:rPr>
                <w:rFonts w:ascii="Times New Roman" w:cs="Times New Roman" w:eastAsia="Times New Roman" w:hAnsi="Times New Roman"/>
                <w:sz w:val="10"/>
                <w:szCs w:val="10"/>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0" w:type="dxa"/>
            <w:vAlign w:val="bottom"/>
          </w:tcPr>
          <w:p>
            <w:pPr>
              <w:spacing w:after="0"/>
              <w:rPr>
                <w:sz w:val="1"/>
                <w:szCs w:val="1"/>
                <w:color w:val="auto"/>
              </w:rPr>
            </w:pPr>
          </w:p>
        </w:tc>
      </w:tr>
      <w:tr>
        <w:trPr>
          <w:trHeight w:val="257"/>
        </w:trPr>
        <w:tc>
          <w:tcPr>
            <w:tcW w:w="8040" w:type="dxa"/>
            <w:vAlign w:val="bottom"/>
          </w:tcPr>
          <w:p>
            <w:pPr>
              <w:ind w:left="360"/>
              <w:spacing w:after="0" w:line="256" w:lineRule="exact"/>
              <w:rPr>
                <w:sz w:val="20"/>
                <w:szCs w:val="20"/>
                <w:color w:val="auto"/>
              </w:rPr>
            </w:pPr>
            <w:r>
              <w:rPr>
                <w:rFonts w:ascii="Times New Roman" w:cs="Times New Roman" w:eastAsia="Times New Roman" w:hAnsi="Times New Roman"/>
                <w:sz w:val="18"/>
                <w:szCs w:val="18"/>
                <w:color w:val="auto"/>
              </w:rPr>
              <w:t>NEREUS</w:t>
            </w:r>
            <w:r>
              <w:rPr>
                <w:rFonts w:ascii="Times New Roman" w:cs="Times New Roman" w:eastAsia="Times New Roman" w:hAnsi="Times New Roman"/>
                <w:sz w:val="23"/>
                <w:szCs w:val="23"/>
                <w:color w:val="auto"/>
                <w:vertAlign w:val="superscript"/>
              </w:rPr>
              <w:t>TM</w:t>
            </w:r>
          </w:p>
        </w:tc>
        <w:tc>
          <w:tcPr>
            <w:tcW w:w="2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Imsidolimab</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14,529</w:t>
            </w:r>
          </w:p>
        </w:tc>
        <w:tc>
          <w:tcPr>
            <w:tcW w:w="0" w:type="dxa"/>
            <w:vAlign w:val="bottom"/>
          </w:tcPr>
          <w:p>
            <w:pPr>
              <w:spacing w:after="0"/>
              <w:rPr>
                <w:sz w:val="1"/>
                <w:szCs w:val="1"/>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VQW-765</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CFTR</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0" w:type="dxa"/>
            <w:vAlign w:val="bottom"/>
          </w:tcPr>
          <w:p>
            <w:pPr>
              <w:spacing w:after="0"/>
              <w:rPr>
                <w:sz w:val="1"/>
                <w:szCs w:val="1"/>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VTR-297</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direct project costs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26,433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33,320</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Indirect project costs (1)</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indirect overhead</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indirect project costs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35,712</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80" w:right="80" w:hanging="329"/>
        <w:spacing w:after="0" w:line="266" w:lineRule="auto"/>
        <w:tabs>
          <w:tab w:leader="none" w:pos="57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 direct costs, including personnel costs and related benefits, on a project-by-project basis. Many of our research and development costs are not attributable to any individual project because we share resources across several development projects. We record indirect costs that support a number of our research and development activities in the aggregate, including stock-based compensation.</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expect to incur significant research and development expenses as we continue to develop our products and continue our efforts to expand our product pipeline.</w:t>
      </w:r>
    </w:p>
    <w:p>
      <w:pPr>
        <w:spacing w:after="0" w:line="160" w:lineRule="exact"/>
        <w:rPr>
          <w:sz w:val="20"/>
          <w:szCs w:val="20"/>
          <w:color w:val="auto"/>
        </w:rPr>
      </w:pPr>
    </w:p>
    <w:p>
      <w:pPr>
        <w:ind w:right="80"/>
        <w:spacing w:after="0" w:line="223"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$18.3 million, or 36%, to $68.4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2026 compared to $50.1 million for the three months ended March 31, 2025. The increase in selling, general and administrative expenses was primarily the result of an increase in spending on our continued commercialization efforts for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bipolar disorder and 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RMS, including the expansion of our sales force during 2025. Selling, general and administrative expenses may increase in future periods as a result of the ongoing commercial launches, including the U.S. commercial launch of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initiated on May 1, 2026, as well as the other future commercial launches.</w:t>
      </w:r>
    </w:p>
    <w:p>
      <w:pPr>
        <w:spacing w:after="0" w:line="19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i w:val="1"/>
          <w:iCs w:val="1"/>
          <w:color w:val="auto"/>
        </w:rPr>
        <w:t>Intangible asset amortization</w:t>
      </w:r>
      <w:r>
        <w:rPr>
          <w:rFonts w:ascii="Times New Roman" w:cs="Times New Roman" w:eastAsia="Times New Roman" w:hAnsi="Times New Roman"/>
          <w:sz w:val="18"/>
          <w:szCs w:val="18"/>
          <w:color w:val="auto"/>
        </w:rPr>
        <w:t>. Intangible asset amortization was $2.0 million for the three months ended March 31, 2026 compared to $1.8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2025. Intangible asset amortization increased in 2026 due to the amortization of the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intangible asset, which was capitalized in December 2025.</w:t>
      </w:r>
    </w:p>
    <w:p>
      <w:pPr>
        <w:spacing w:after="0" w:line="197"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was $1.8 million for the three months ended March 31, 2026 compared to $3.7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2025. Other income primarily consists of investment income on our marketable securities.</w:t>
      </w:r>
    </w:p>
    <w:p>
      <w:pPr>
        <w:spacing w:after="0" w:line="15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(benefit) for income taxes. </w:t>
      </w:r>
      <w:r>
        <w:rPr>
          <w:rFonts w:ascii="Times New Roman" w:cs="Times New Roman" w:eastAsia="Times New Roman" w:hAnsi="Times New Roman"/>
          <w:sz w:val="18"/>
          <w:szCs w:val="18"/>
          <w:color w:val="auto"/>
        </w:rPr>
        <w:t>We recorded an income tax provision of $0.1 million and a benefit for income taxes of $7.9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2026 and 2025, respectively. The income tax provision for the three months ended March 31, 2026 was driven by discrete income tax expense of $0.1 million. The income tax benefit for the three months ended March 31, 2025 was primarily driven by the estimated effective tax rate for the year as well as discrete income tax expense of $0.5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March 31, 2026, our total cash and cash equivalents and marketable securities were $202.3 million compared to $263.8 million at December 31, 2025. Our cash and cash equivalents are deposits in operating accounts and highly liquid investments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with an original maturity of 90 days or less at date of purchase and consist of investments in money market funds with commercial banks and financial institutions and commercial paper of high-quality corporate issuers. Our marketable securities consist of investments in government sponsored and corporate enterprises and commercial paper.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liquidity resources as of March 31, 2026 and December 31, 2025 are summarized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3"/>
                <w:szCs w:val="13"/>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3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5"/>
        </w:trPr>
        <w:tc>
          <w:tcPr>
            <w:tcW w:w="80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84,851</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153,735</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Corporate debt</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25,261</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148,276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178,996</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202,310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263,847</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of March 31, 2026, we maintained all of our cash, cash equivalents and marketable securities in two financial institutions. Deposits held with these institutions may exceed the amount of insurance provided on such deposits, but we do not anticipate any losses with respect to such deposits.</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In the normal course of our business, we regularly enter into agreements with third-party vendors under fee service arrangements which generally may be terminated on 90 days’ notice without incurring additional charges, other than charges for work completed or materials procured but not paid for through the effective date of termination and other costs incurred by our contractors in closing out work in progress as of the effective date of termination and certain commitments for marketing activities. Our non-cancellable purchase commitments for agreements with a remaining non-cancellable term longer than one year from March 31, 2026 primarily relate to commitments for marketing activities and data services. Various other long-term agreements entered into for services with other third-party vendors, such as inventory purchase commitments, are cancellable in nature or contain variable commitment terms within the agreement that are within our control. We also have long-term contractual obligations related to our leases and license agreements. See Note 8,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to the condensed consolidated financial statements included in Part I of this Quarterly Report for more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commitments.</w:t>
      </w:r>
    </w:p>
    <w:p>
      <w:pPr>
        <w:spacing w:after="0" w:line="1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Other than as disclosed in Note 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the condensed consolidated financial statements included in Part I of this Quarterly Report, there have been no material changes to our long-term contractual obligations as disclosed in Part II, Item 7, </w:t>
      </w:r>
      <w:r>
        <w:rPr>
          <w:rFonts w:ascii="Times New Roman" w:cs="Times New Roman" w:eastAsia="Times New Roman" w:hAnsi="Times New Roman"/>
          <w:sz w:val="18"/>
          <w:szCs w:val="18"/>
          <w:i w:val="1"/>
          <w:iCs w:val="1"/>
          <w:color w:val="auto"/>
        </w:rPr>
        <w:t>Management’s Discussion and Analysis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Financial Condition and Results of Operations</w:t>
      </w:r>
      <w:r>
        <w:rPr>
          <w:rFonts w:ascii="Times New Roman" w:cs="Times New Roman" w:eastAsia="Times New Roman" w:hAnsi="Times New Roman"/>
          <w:sz w:val="18"/>
          <w:szCs w:val="18"/>
          <w:color w:val="auto"/>
        </w:rPr>
        <w:t>, of our Annual Report. For further information regarding our long-term non-cancellable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commitments, leases and license agreements, see Note 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225"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Based on our current operating plans, which include continued investment in support of our commercial products, including the ongoing commercial launch of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the prevention of vomiting induced by motion, which became commercially available in the U.S. on May 1, 2026, and the upcoming commercial launch of BYSANTI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the acute treatment of manic or mixed episodes associated with bipolar I disorder and for the treatment of schizophrenia, continued clinical development of our commercial and other products, pursuit of regulatory approval of imsidolimab, pursuit of further regulatory approvals for our currently approved products and payments due upon achievement of milestones under our license agreements, we believe that our cash, cash equivalents and marketable securities and cash received from product sales will be sufficient for at least the next 12 months as of the date the financial statements were issued. Our activities will necessitate significant working capital through 2026 and beyond, and future cash requirements and the adequacy of our available funds will depend on many factors, primarily including our ability to generate revenue, the scope and costs of our commercial, manufacturing and process development activities, including the commercial launches of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and BYSANTI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a regulatory approval of imsidolimab, the magnitude of our discovery, preclinical and clinical development programs and potential costs to acquire or license the rights to additional products.</w:t>
      </w:r>
    </w:p>
    <w:p>
      <w:pPr>
        <w:spacing w:after="0" w:line="20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may need or desire to obtain additional capital to finance our operations through debt, equity or alternative financing arrangements. We may also seek capital through collaborations or partnerships with other companies. The issuance of debt could require us to grant liens on certain of our assets that may limit our flexibility and debt securities may be convertible into common stock. If we raise additional capital by issuing equity securities, the terms and prices for these financings may be much more favorable to the new investors than the terms obtained by our existing stockholders. These financings may also significantly dilute the ownership of our existing stockholders. If we are unable to obtain additional financing, we may be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required to reduce the scope of our future activities, which could harm our business, financial condition and operating results. There can be no assurance that any additional financing required in the future will be available on acceptable terms, if at all.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net cash flows from operating, investing and financing activities for the three months ended March 31, 2026 and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1"/>
                <w:szCs w:val="11"/>
                <w:color w:val="auto"/>
              </w:rPr>
            </w:pPr>
          </w:p>
        </w:tc>
        <w:tc>
          <w:tcPr>
            <w:tcW w:w="12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1"/>
                <w:szCs w:val="11"/>
                <w:color w:val="auto"/>
              </w:rPr>
            </w:pPr>
          </w:p>
        </w:tc>
        <w:tc>
          <w:tcPr>
            <w:tcW w:w="1140" w:type="dxa"/>
            <w:vAlign w:val="bottom"/>
          </w:tcPr>
          <w:p>
            <w:pPr>
              <w:jc w:val="right"/>
              <w:ind w:right="532"/>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67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(19,073)</w:t>
            </w:r>
          </w:p>
        </w:tc>
        <w:tc>
          <w:tcPr>
            <w:tcW w:w="0" w:type="dxa"/>
            <w:vAlign w:val="bottom"/>
          </w:tcPr>
          <w:p>
            <w:pPr>
              <w:spacing w:after="0"/>
              <w:rPr>
                <w:sz w:val="1"/>
                <w:szCs w:val="1"/>
                <w:color w:val="auto"/>
              </w:rPr>
            </w:pP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charges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7,973</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operating assets and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0" w:type="dxa"/>
            <w:vAlign w:val="bottom"/>
          </w:tcPr>
          <w:p>
            <w:pPr>
              <w:spacing w:after="0"/>
              <w:rPr>
                <w:sz w:val="1"/>
                <w:szCs w:val="1"/>
                <w:color w:val="auto"/>
              </w:rPr>
            </w:pPr>
          </w:p>
        </w:tc>
      </w:tr>
      <w:tr>
        <w:trPr>
          <w:trHeight w:val="223"/>
        </w:trPr>
        <w:tc>
          <w:tcPr>
            <w:tcW w:w="6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of intangible asset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purchases, sales and maturities of marketable securities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44,338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(23,668)</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obligations paid in connection with settlement of restricted stock units</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(40,297)</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flows used in operating activities during the three months ended March 31, 2026 were $50.2 million, an increase of $17.1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compared to $33.1 million during the three months ended March 31, 2025. The increase reflects an increase in net loss of $19.1 million and a decrease of $6.0 million from the net change in operating assets and liabilities, partially offset by an increase of $8.0 million in non-cash charges primarily due a valuation allowance against all of our deferred tax assets in 2026. The decrease from net change in operating assets and liabilities due to timing for our accounts receivable and accounts payable and accrued liabilities. We generally pay approved invoices when due, with vendor terms typically ranging from 30 to 45 days.</w:t>
      </w:r>
    </w:p>
    <w:p>
      <w:pPr>
        <w:spacing w:after="0" w:line="18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i w:val="1"/>
          <w:iCs w:val="1"/>
          <w:color w:val="auto"/>
        </w:rPr>
        <w:t xml:space="preserve">Investing Activities. </w:t>
      </w:r>
      <w:r>
        <w:rPr>
          <w:rFonts w:ascii="Times New Roman" w:cs="Times New Roman" w:eastAsia="Times New Roman" w:hAnsi="Times New Roman"/>
          <w:sz w:val="17"/>
          <w:szCs w:val="17"/>
          <w:color w:val="auto"/>
        </w:rPr>
        <w:t>Cash flows provided by investing activities during the three months ended March 31, 2026 were $20.2 million, a decrease of $23.7</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compared to $43.9 million during the three months ended March 31, 2025. The change in investing activities primarily reflects the net use of cash and cash equivalents and maturities of the investments in our portfolio of marketable securities. The $10.0 million milestone payment owed to Eli Lilly and Company for the FDA’s approval of NEREUS</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for the prevention of vomiting induced by motion was accrued as of December 31, 2025 and paid in 2026.</w:t>
      </w:r>
    </w:p>
    <w:p>
      <w:pPr>
        <w:spacing w:after="0" w:line="94"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flows used in financing activities during the three months ended March 31, 2026 were $0.8 million, a decrease of $0.5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$1.3 million during the three months ended March 31, 2025. Financing activities include principal payments for our finance lease liabilities and tax obligations paid in connection with settlement of restricted stock units.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exposure to market risk is currently confined to our cash and cash equivalents, marketable securities and restricted cash. We currently do not hedge interest rate exposure. We have not used derivative financial instruments for speculation or trading purposes.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deposit our cash with financial institutions that we consider to be of high credit quality and purchase marketable securities that are generally investment grade, liquid, short-term fixed income securities and money-market instruments denominated in U.S. dollars. Our marketable securities consist of commercial paper, corporate notes and U.S. government agency notes and have maturities of less than two years. We do not believe that an increase in market rates would have any significant impact on the realized value of our cash equivalents and marketable securities.</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also exposed to risks related to changes in foreign currency exchange rates relating to our foreign operations. The functional currency of our international subsidiaries is the local currency. We are exposed to foreign currency risk to the extent that we enter into transactions denominated in currencies other than our subsidiaries’ respective functional currencies. We are also exposed to unfavorable fluctuations of the U.S. dollar, which is our reporting currency, against the currencies of our operating subsidiaries when their respective financial statements are translated into U.S. dollars for inclusion in our condensed consolidated financial statements. We do not currently hedge our foreign currency exchange rate risk. Foreign currency has not had, nor do we believe that a decrease or increase in any foreign currency exchange rates would have, a material impact on our results of operations.</w:t>
      </w:r>
    </w:p>
    <w:p>
      <w:pPr>
        <w:spacing w:after="0" w:line="332"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2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evaluated the effectiveness of the design and operation of our disclosure controls and procedures (as defined in Rules 13a-15(e) and 15d-15(e) under the Securities Exchange Act of 1934, as amended (Exchange Act)) as of March 31, 2026. Based upon that evaluation, our Chief Executive Officer and Chief Financial Officer concluded that our disclosure controls and procedures are effective as of March 31, 2026, the end of the period covered by this quarterly report on Form 10-Q, to ensure that the information required to be disclosed by us in the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Rules 13a-15(f) and 15d-15(f) under the Exchange Act) during the first quarter of 2026 that has materially affected, or is reasonably likely to materially affect, our internal control over financial reporting.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14"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 xml:space="preserve">Information with respect to this item may be found in Note 14, </w:t>
      </w:r>
      <w:r>
        <w:rPr>
          <w:rFonts w:ascii="Times New Roman" w:cs="Times New Roman" w:eastAsia="Times New Roman" w:hAnsi="Times New Roman"/>
          <w:sz w:val="18"/>
          <w:szCs w:val="18"/>
          <w:i w:val="1"/>
          <w:iCs w:val="1"/>
          <w:color w:val="auto"/>
        </w:rPr>
        <w:t>Legal Matters,</w:t>
      </w:r>
      <w:r>
        <w:rPr>
          <w:rFonts w:ascii="Times New Roman" w:cs="Times New Roman" w:eastAsia="Times New Roman" w:hAnsi="Times New Roman"/>
          <w:sz w:val="18"/>
          <w:szCs w:val="18"/>
          <w:color w:val="auto"/>
        </w:rPr>
        <w:t xml:space="preserve"> to the condensed consolidated financial statements in Part I of this quarterly report on Form 10-Q, which is incorporated herein by reference.</w:t>
      </w:r>
    </w:p>
    <w:p>
      <w:pPr>
        <w:spacing w:after="0" w:line="305"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0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previously disclosed in Part I, Item 1A of our annual report on Form 10-K (Annual Report) for the year ended December 31, 2025, filed with the Securities and Exchange Commission on February 12, 2026, important factors which could affect our business, financial condition, results of operations and future operations under the heading Risk Factors. Our business, financial condition and operating results can be affected by a number of factors, whether currently known or unknown, including but not limited to those described as risk factors, any one or more of which could, directly or indirectly, cause our actual operating results and financial condition to vary materially from past, or anticipated future, operating results and financial condition. Any of these factors, in whole or in part, could materially and adversely affect our business, financial condition, operating results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and the price of our common stock. There have been no material changes to the risk factors disclosed in (i) our Annual Report for the fiscal year ended December 31, 2025.</w:t>
      </w:r>
    </w:p>
    <w:p>
      <w:pPr>
        <w:spacing w:after="0" w:line="306"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1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fiscal quarter ended March 31, 2026, none of our directors or officers informed us of the adoption, modification or termination of a “Rule 10b5-1 trading arrangement” or “non-Rule 10b5-1 trading arrangement,” as those terms are defined in Regulation S-K, Item 408. Furthermore, during the fiscal quarter ended March 31, 2026, we did not adopt or terminate a “Rule 10b5-1 trading arrangement” or “non-Rule 10b5-1 trading arrangement,” as those terms are defined in Regulation S-K, Item 408.</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April 22, 2026, our board of directors approved, subject to stockholder approval, an amendment to our Amended and Restated 2016 Equity Incentive Plan, as amended (the 2016 Plan). The amendment to the 2016 Plan, if approved by the stockholders, will increase the aggregate number of shares of common stock that may be issued by us pursuant to awards under the 2016 Plan by 2,500,000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below included in this Item 5 is provided in lieu of filing such information on a Current Report on Form 8-K under Item 1.01.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1.01. Entry into a Material Definitive Agreement.</w:t>
      </w:r>
    </w:p>
    <w:p>
      <w:pPr>
        <w:spacing w:after="0" w:line="11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May 1, 2026, the Company entered into Amendment No. 8 to its lease for its headquarters in Washington, D.C with its landlord, Square 54 Office Owner LLC. The amendment (i) expands the leased premises, (ii) confirms the early termination of certain space effective November 30, 2026 and (iii) extends the lease term for the remaining and additional space through July 31, 2038. The amendment also provides for base rent, rent abatements, tenant improvement allowances and related customary terms.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description is qualified in its entirety by reference to Amendment No. 8, which will be filed as an exhibit to the Company’s Quarterly Report on Form 10-Q for the quarter ending June 30, 2026.</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8"/>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0" w:type="dxa"/>
            <w:vAlign w:val="bottom"/>
          </w:tcPr>
          <w:p>
            <w:pPr>
              <w:spacing w:after="0"/>
              <w:rPr>
                <w:sz w:val="20"/>
                <w:szCs w:val="20"/>
                <w:color w:val="auto"/>
              </w:rPr>
            </w:pPr>
          </w:p>
        </w:tc>
        <w:tc>
          <w:tcPr>
            <w:tcW w:w="10200" w:type="dxa"/>
            <w:vAlign w:val="bottom"/>
            <w:gridSpan w:val="12"/>
          </w:tcPr>
          <w:p>
            <w:pPr>
              <w:ind w:left="3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56"/>
        </w:trPr>
        <w:tc>
          <w:tcPr>
            <w:tcW w:w="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7760" w:type="dxa"/>
            <w:vAlign w:val="bottom"/>
            <w:gridSpan w:val="11"/>
            <w:vMerge w:val="restart"/>
          </w:tcPr>
          <w:p>
            <w:pPr>
              <w:ind w:left="2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7760" w:type="dxa"/>
            <w:vAlign w:val="bottom"/>
            <w:gridSpan w:val="11"/>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00" w:type="dxa"/>
            <w:vAlign w:val="bottom"/>
            <w:tcBorders>
              <w:top w:val="single" w:sz="8" w:color="auto"/>
            </w:tcBorders>
            <w:gridSpan w:val="12"/>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Form of Amended and Restated Certificate of Incorporation of the registrant (filed as Exhibit 3.8 to Amendment No. 2 to the registrant’s</w:t>
              </w:r>
            </w:hyperlink>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registration statement on Form S-1 (File No. 333-130759) on March 17, 2006 and incorporated herein by reference).</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12"/>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Amended and Restated Bylaws of the registrant, as amended and restated on October 2, 2024 (filed as Exhibit 3.1 to the registrant’s current</w:t>
              </w:r>
            </w:hyperlink>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report on Form 8-K (File No. 001-34186) on October 3, 2024 and incorporated herein by reference).</w:t>
              </w:r>
            </w:hyperlink>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12"/>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Amended and Restated Certificate of Designation of Rights, Preferences and Privileges of Series A Junior Participating Preferred Stock of</w:t>
              </w:r>
            </w:hyperlink>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Vanda Pharmaceuticals Inc. (filed as Exhibit 3.1 to the registrant’s current report on Form 8-K (File No. 001-34186) on April 17, 2024 and</w:t>
              </w:r>
            </w:hyperlink>
          </w:p>
        </w:tc>
        <w:tc>
          <w:tcPr>
            <w:tcW w:w="20" w:type="dxa"/>
            <w:vAlign w:val="bottom"/>
            <w:tcBorders>
              <w:bottom w:val="single" w:sz="8" w:color="0000FF"/>
            </w:tcBorders>
          </w:tcPr>
          <w:p>
            <w:pPr>
              <w:spacing w:after="0"/>
              <w:rPr>
                <w:sz w:val="13"/>
                <w:szCs w:val="13"/>
                <w:color w:val="auto"/>
              </w:rPr>
            </w:pPr>
          </w:p>
        </w:tc>
        <w:tc>
          <w:tcPr>
            <w:tcW w:w="2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gridSpan w:val="10"/>
          </w:tcPr>
          <w:p>
            <w:pPr>
              <w:spacing w:after="0" w:line="15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incorporated herein by reference).</w:t>
              </w:r>
            </w:hyperlink>
          </w:p>
        </w:tc>
        <w:tc>
          <w:tcPr>
            <w:tcW w:w="2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as required by Section 302 of the Sarbanes-Oxley Act of 2002.</w:t>
            </w:r>
          </w:p>
        </w:tc>
        <w:tc>
          <w:tcPr>
            <w:tcW w:w="0" w:type="dxa"/>
            <w:vAlign w:val="bottom"/>
          </w:tcPr>
          <w:p>
            <w:pPr>
              <w:spacing w:after="0"/>
              <w:rPr>
                <w:sz w:val="1"/>
                <w:szCs w:val="1"/>
                <w:color w:val="auto"/>
              </w:rPr>
            </w:pPr>
          </w:p>
        </w:tc>
      </w:tr>
      <w:tr>
        <w:trPr>
          <w:trHeight w:val="264"/>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7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as required by Section 302 of the Sarbanes-Oxley Act of 2002.</w:t>
            </w:r>
          </w:p>
        </w:tc>
        <w:tc>
          <w:tcPr>
            <w:tcW w:w="40" w:type="dxa"/>
            <w:vAlign w:val="bottom"/>
            <w:tcBorders>
              <w:top w:val="single" w:sz="8" w:color="0000FF"/>
            </w:tcBorders>
          </w:tcPr>
          <w:p>
            <w:pPr>
              <w:spacing w:after="0"/>
              <w:rPr>
                <w:sz w:val="22"/>
                <w:szCs w:val="22"/>
                <w:color w:val="auto"/>
              </w:rPr>
            </w:pPr>
          </w:p>
        </w:tc>
        <w:tc>
          <w:tcPr>
            <w:tcW w:w="246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(Principal Executive Officer) and Chief Financial Officer (Principal Financial Officer and</w:t>
            </w: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Principal Accounting Officer), as required by Section 906 of the Sarbanes-Oxley Act of 2002.</w:t>
            </w:r>
          </w:p>
        </w:tc>
        <w:tc>
          <w:tcPr>
            <w:tcW w:w="5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920" w:right="20" w:hanging="894"/>
        <w:spacing w:after="0" w:line="217" w:lineRule="auto"/>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this quarterly report on Form 10-Q for the fiscal quarter ended March 31, 2026 formatted in Inline Extensible Business Reporting Language (iXBRL) and filed electronically herewith: (i) Condensed Consolidated Balance Sheets as of March 31, 2026 and December 31, 2025; (ii) Condensed Consolidated Statements of Operations for the three months ended March 31, 2026 and 2025; (iii) Condensed Consolidated Statements of Comprehensive Loss for the three months ended March 31, 2026 and 2025; (iv) Condensed Consolidated Statements of Changes in Stockholders’ Equity for the three months ended March 31, 2026 and 2025; (v) Condensed Consolidated Statements of Cash Flows for the three months ended March 31, 2026 and 2025; and (vi) Notes to Condensed Consolidated Financial Statements.</w:t>
      </w:r>
    </w:p>
    <w:p>
      <w:pPr>
        <w:spacing w:after="0" w:line="53"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4972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70" w:lineRule="exact"/>
        <w:rPr>
          <w:sz w:val="20"/>
          <w:szCs w:val="20"/>
          <w:color w:val="auto"/>
        </w:rPr>
      </w:pPr>
    </w:p>
    <w:p>
      <w:pPr>
        <w:ind w:left="920" w:hanging="894"/>
        <w:spacing w:after="0"/>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77" w:lineRule="exact"/>
        <w:rPr>
          <w:sz w:val="20"/>
          <w:szCs w:val="20"/>
          <w:color w:val="auto"/>
        </w:rPr>
      </w:pPr>
    </w:p>
    <w:p>
      <w:pPr>
        <w:ind w:left="920" w:hanging="894"/>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27"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9"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b w:val="1"/>
          <w:bCs w:val="1"/>
          <w:color w:val="auto"/>
        </w:rPr>
        <w:t>Vanda Pharmaceuticals Inc.</w:t>
      </w:r>
    </w:p>
    <w:p>
      <w:pPr>
        <w:spacing w:after="0" w:line="297" w:lineRule="exact"/>
        <w:rPr>
          <w:sz w:val="20"/>
          <w:szCs w:val="20"/>
          <w:color w:val="auto"/>
        </w:rPr>
      </w:pPr>
    </w:p>
    <w:p>
      <w:pPr>
        <w:ind w:left="20"/>
        <w:spacing w:after="0"/>
        <w:tabs>
          <w:tab w:leader="none" w:pos="6660" w:val="left"/>
        </w:tabs>
        <w:rPr>
          <w:sz w:val="20"/>
          <w:szCs w:val="20"/>
          <w:color w:val="auto"/>
        </w:rPr>
      </w:pP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7"/>
          <w:szCs w:val="17"/>
          <w:color w:val="auto"/>
        </w:rPr>
        <w:t>/s/ Mihael H. Polymeropoulos,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17145</wp:posOffset>
            </wp:positionV>
            <wp:extent cx="40805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spacing w:after="0" w:line="1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Mihael H. Polymeropoulos, M.D.</w:t>
      </w:r>
    </w:p>
    <w:p>
      <w:pPr>
        <w:spacing w:after="0" w:line="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Chairman of the Board</w:t>
      </w:r>
    </w:p>
    <w:p>
      <w:pPr>
        <w:ind w:left="69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73" w:lineRule="exact"/>
        <w:rPr>
          <w:sz w:val="20"/>
          <w:szCs w:val="20"/>
          <w:color w:val="auto"/>
        </w:rPr>
      </w:pPr>
    </w:p>
    <w:p>
      <w:pPr>
        <w:ind w:left="20"/>
        <w:spacing w:after="0"/>
        <w:tabs>
          <w:tab w:leader="none" w:pos="7400" w:val="left"/>
        </w:tabs>
        <w:rPr>
          <w:sz w:val="20"/>
          <w:szCs w:val="20"/>
          <w:color w:val="auto"/>
        </w:rPr>
      </w:pP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7"/>
          <w:szCs w:val="17"/>
          <w:color w:val="auto"/>
        </w:rPr>
        <w:t>/s/ Kevin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17145</wp:posOffset>
            </wp:positionV>
            <wp:extent cx="408051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4080510" cy="8890"/>
                    </a:xfrm>
                    <a:prstGeom prst="rect">
                      <a:avLst/>
                    </a:prstGeom>
                    <a:noFill/>
                  </pic:spPr>
                </pic:pic>
              </a:graphicData>
            </a:graphic>
          </wp:anchor>
        </w:drawing>
      </w:r>
    </w:p>
    <w:p>
      <w:pPr>
        <w:spacing w:after="0" w:line="12"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color w:val="auto"/>
        </w:rPr>
        <w:t>Kevin Moran</w:t>
      </w:r>
    </w:p>
    <w:p>
      <w:pPr>
        <w:spacing w:after="0" w:line="2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Senior Vice President, Chief Financial Officer and Treasurer</w:t>
      </w:r>
    </w:p>
    <w:p>
      <w:pPr>
        <w:ind w:left="5600"/>
        <w:spacing w:after="0"/>
        <w:rPr>
          <w:sz w:val="20"/>
          <w:szCs w:val="20"/>
          <w:color w:val="auto"/>
        </w:rPr>
      </w:pPr>
      <w:r>
        <w:rPr>
          <w:rFonts w:ascii="Times New Roman" w:cs="Times New Roman" w:eastAsia="Times New Roman" w:hAnsi="Times New Roman"/>
          <w:sz w:val="18"/>
          <w:szCs w:val="18"/>
          <w:b w:val="1"/>
          <w:b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00"/>
          </w:cols>
          <w:pgMar w:left="320" w:top="114" w:right="37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Mihael H. Polymeropoulos,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Vanda Pharmaceuticals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20"/>
        <w:spacing w:after="0"/>
        <w:tabs>
          <w:tab w:leader="none" w:pos="6660" w:val="left"/>
        </w:tabs>
        <w:rPr>
          <w:sz w:val="20"/>
          <w:szCs w:val="20"/>
          <w:color w:val="auto"/>
        </w:rPr>
      </w:pP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7"/>
          <w:szCs w:val="17"/>
          <w:color w:val="auto"/>
        </w:rPr>
        <w:t>/s/ Mihael H. Polymeropoulos,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17145</wp:posOffset>
            </wp:positionV>
            <wp:extent cx="4072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4072255" cy="8255"/>
                    </a:xfrm>
                    <a:prstGeom prst="rect">
                      <a:avLst/>
                    </a:prstGeom>
                    <a:noFill/>
                  </pic:spPr>
                </pic:pic>
              </a:graphicData>
            </a:graphic>
          </wp:anchor>
        </w:drawing>
      </w:r>
    </w:p>
    <w:p>
      <w:pPr>
        <w:spacing w:after="0" w:line="1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Mihael H. Polymeropoulos, M.D.</w:t>
      </w:r>
    </w:p>
    <w:p>
      <w:pPr>
        <w:spacing w:after="0" w:line="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Chairman of the Board</w:t>
      </w:r>
    </w:p>
    <w:p>
      <w:pPr>
        <w:ind w:left="69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Moran,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Vanda Pharmaceuticals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20"/>
        <w:spacing w:after="0"/>
        <w:tabs>
          <w:tab w:leader="none" w:pos="7400" w:val="left"/>
        </w:tabs>
        <w:rPr>
          <w:sz w:val="20"/>
          <w:szCs w:val="20"/>
          <w:color w:val="auto"/>
        </w:rPr>
      </w:pP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7"/>
          <w:szCs w:val="17"/>
          <w:color w:val="auto"/>
        </w:rPr>
        <w:t>/s/ Kevin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17145</wp:posOffset>
            </wp:positionV>
            <wp:extent cx="40805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spacing w:after="0" w:line="12"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color w:val="auto"/>
        </w:rPr>
        <w:t>Kevin Moran</w:t>
      </w:r>
    </w:p>
    <w:p>
      <w:pPr>
        <w:spacing w:after="0" w:line="1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Senior Vice President, Chief Financial Officer and Treasurer</w:t>
      </w:r>
    </w:p>
    <w:p>
      <w:pPr>
        <w:ind w:left="5600"/>
        <w:spacing w:after="0"/>
        <w:rPr>
          <w:sz w:val="20"/>
          <w:szCs w:val="20"/>
          <w:color w:val="auto"/>
        </w:rPr>
      </w:pPr>
      <w:r>
        <w:rPr>
          <w:rFonts w:ascii="Times New Roman" w:cs="Times New Roman" w:eastAsia="Times New Roman" w:hAnsi="Times New Roman"/>
          <w:sz w:val="18"/>
          <w:szCs w:val="18"/>
          <w:b w:val="1"/>
          <w:bCs w:val="1"/>
          <w:color w:val="auto"/>
        </w:rPr>
        <w:t>(Principal Financial Officer and Principal Accounting Officer)</w:t>
      </w:r>
    </w:p>
    <w:p>
      <w:pPr>
        <w:sectPr>
          <w:pgSz w:w="11900" w:h="16838" w:orient="portrait"/>
          <w:cols w:equalWidth="0" w:num="1">
            <w:col w:w="11240"/>
          </w:cols>
          <w:pgMar w:left="320" w:top="88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Vanda Pharmaceuticals Inc. (the Company), does hereby certify, to the best of such officer’s knowledge, that:</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March 31, 2026 (the Form 10-Q) of the Company fully complies with the requirements of Section 13(a) or 15(d) of the Securities Exchange Act of 1934, as amended, and the information contained in the Form 10-Q fairly presents, in all material respects, the consolidated financial condition and results of operations of the Company.</w:t>
      </w:r>
    </w:p>
    <w:p>
      <w:pPr>
        <w:spacing w:after="0" w:line="257" w:lineRule="exact"/>
        <w:rPr>
          <w:sz w:val="20"/>
          <w:szCs w:val="20"/>
          <w:color w:val="auto"/>
        </w:rPr>
      </w:pPr>
    </w:p>
    <w:p>
      <w:pPr>
        <w:ind w:left="20"/>
        <w:spacing w:after="0"/>
        <w:tabs>
          <w:tab w:leader="none" w:pos="6660" w:val="left"/>
        </w:tabs>
        <w:rPr>
          <w:sz w:val="20"/>
          <w:szCs w:val="20"/>
          <w:color w:val="auto"/>
        </w:rPr>
      </w:pP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7"/>
          <w:szCs w:val="17"/>
          <w:color w:val="auto"/>
        </w:rPr>
        <w:t>/s/ Mihael H. Polymeropoulos,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17145</wp:posOffset>
            </wp:positionV>
            <wp:extent cx="40805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spacing w:after="0" w:line="1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Mihael H. Polymeropoulos, M.D.</w:t>
      </w:r>
    </w:p>
    <w:p>
      <w:pPr>
        <w:spacing w:after="0" w:line="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Chairman of the Board</w:t>
      </w:r>
    </w:p>
    <w:p>
      <w:pPr>
        <w:ind w:left="69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73" w:lineRule="exact"/>
        <w:rPr>
          <w:sz w:val="20"/>
          <w:szCs w:val="20"/>
          <w:color w:val="auto"/>
        </w:rPr>
      </w:pPr>
    </w:p>
    <w:p>
      <w:pPr>
        <w:ind w:left="20"/>
        <w:spacing w:after="0"/>
        <w:tabs>
          <w:tab w:leader="none" w:pos="7400" w:val="left"/>
        </w:tabs>
        <w:rPr>
          <w:sz w:val="20"/>
          <w:szCs w:val="20"/>
          <w:color w:val="auto"/>
        </w:rPr>
      </w:pP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7"/>
          <w:szCs w:val="17"/>
          <w:color w:val="auto"/>
        </w:rPr>
        <w:t>/s/ Kevin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17145</wp:posOffset>
            </wp:positionV>
            <wp:extent cx="40805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spacing w:after="0" w:line="12"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color w:val="auto"/>
        </w:rPr>
        <w:t>Kevin Moran</w:t>
      </w:r>
    </w:p>
    <w:p>
      <w:pPr>
        <w:spacing w:after="0" w:line="2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Senior Vice President, Chief Financial Officer and Treasurer</w:t>
      </w:r>
    </w:p>
    <w:p>
      <w:pPr>
        <w:ind w:left="5600"/>
        <w:spacing w:after="0"/>
        <w:rPr>
          <w:sz w:val="20"/>
          <w:szCs w:val="20"/>
          <w:color w:val="auto"/>
        </w:rPr>
      </w:pPr>
      <w:r>
        <w:rPr>
          <w:rFonts w:ascii="Times New Roman" w:cs="Times New Roman" w:eastAsia="Times New Roman" w:hAnsi="Times New Roman"/>
          <w:sz w:val="18"/>
          <w:szCs w:val="18"/>
          <w:b w:val="1"/>
          <w:bCs w:val="1"/>
          <w:color w:val="auto"/>
        </w:rPr>
        <w:t>(Principal Financial Officer and Principal Accounting Officer)</w:t>
      </w:r>
    </w:p>
    <w:p>
      <w:pPr>
        <w:spacing w:after="0" w:line="20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has been provided to the Company and will be retained by the Company and furnished to the Securities and Exchange Commission (SEC) or its staff upon request. 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lvl w:ilvl="1">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0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56" Type="http://schemas.openxmlformats.org/officeDocument/2006/relationships/hyperlink" Target="https://www.sec.gov/Archives/edgar/data/1347178/000095013306001354/w15453a2exv3w8.htm" TargetMode="External"/><Relationship Id="rId57" Type="http://schemas.openxmlformats.org/officeDocument/2006/relationships/hyperlink" Target="https://www.sec.gov/Archives/edgar/data/1347178/000119312524232306/d828148dex31.htm" TargetMode="External"/><Relationship Id="rId58" Type="http://schemas.openxmlformats.org/officeDocument/2006/relationships/hyperlink" Target="https://www.sec.gov/Archives/edgar/data/1347178/000119312524099251/d795618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2026-05-07T06:11:00Z</dcterms:created>
  <dcterms:modified xsi:type="dcterms:W3CDTF">2026-05-07T06:11:00Z</dcterms:modified>
</cp:coreProperties>
</file>